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pPr>
        <w:pStyle w:val="Heading1"/>
      </w:pPr>
      <w:r>
        <w:t>1. Definitions</w:t>
      </w:r>
    </w:p>
    <w:p>
      <w:r>
        <w:t>This Master Services Agreement ("Agreement") is entered into between Alpha Corp, hereinafter referred to as "Buyer", and Beta Services Ltd, hereinafter referred to as "Vendor".</w:t>
      </w:r>
    </w:p>
    <w:p>
      <w:r>
        <w:t>"Effective Date" shall mean January 1, 2025.</w:t>
      </w:r>
    </w:p>
    <w:p>
      <w:r>
        <w:t>"Service Period" shall mean the period of thirty (30) days from the Effective Date.</w:t>
      </w:r>
    </w:p>
    <w:p>
      <w:pPr>
        <w:pStyle w:val="Heading1"/>
      </w:pPr>
      <w:r>
        <w:t>2. Scope of Services</w:t>
      </w:r>
    </w:p>
    <w:p>
      <w:r>
        <w:t>The Vendor shall provide IT maintenance services for all equipment listed in Schedule A at the locations specified in Schedule B.</w:t>
      </w:r>
    </w:p>
    <w:p>
      <w:pPr>
        <w:pStyle w:val="Heading1"/>
      </w:pPr>
      <w:r>
        <w:t>3. Payment Terms</w:t>
      </w:r>
    </w:p>
    <w:p>
      <w:r>
        <w:t>The Buyer shall pay the Vendor a total fee of $150,000.00 (One Hundred Fifty Thousand US Dollars) for the services described herein.</w:t>
      </w:r>
    </w:p>
    <w:p>
      <w:r>
        <w:t>Payment shall be made Net 90 from invoice date.</w:t>
      </w:r>
    </w:p>
    <w:p>
      <w:pPr>
        <w:pStyle w:val="Heading1"/>
      </w:pPr>
      <w:r>
        <w:t>4. Termination</w:t>
      </w:r>
    </w:p>
    <w:p>
      <w:r>
        <w:t>Either party may terminate this Agreement by providing sixty (60) days written notice to the other party. Subject to the notice period as mentioned in Section 3.2.1, the termination shall be effective upon expiry of the notice period.</w:t>
      </w:r>
    </w:p>
    <w:p>
      <w:r>
        <w:t>Termination may occur for the following reasons: material breach, insolvency, or mutual agreement.</w:t>
      </w:r>
    </w:p>
    <w:p>
      <w:pPr>
        <w:pStyle w:val="Heading1"/>
      </w:pPr>
      <w:r>
        <w:t>5. Confidentiality</w:t>
      </w:r>
    </w:p>
    <w:p>
      <w:r>
        <w:t>Both parties agree to maintain the confidentiality of all proprietary information exchanged during the term of this Agreement, as further detailed in Appendix A.</w:t>
      </w:r>
    </w:p>
    <w:p>
      <w:pPr>
        <w:pStyle w:val="Heading2"/>
      </w:pPr>
      <w:r>
        <w:t>Schedule A: Products</w:t>
      </w:r>
    </w:p>
    <w:tbl>
      <w:tblPr>
        <w:tblStyle w:val="TableGrid"/>
        <w:tblW w:type="auto" w:w="0"/>
        <w:tblLook w:firstColumn="1" w:firstRow="1" w:lastColumn="0" w:lastRow="0" w:noHBand="0" w:noVBand="1" w:val="04A0"/>
      </w:tblPr>
      <w:tblGrid>
        <w:gridCol w:w="2880"/>
        <w:gridCol w:w="2880"/>
        <w:gridCol w:w="2880"/>
      </w:tblGrid>
      <w:tr>
        <w:tc>
          <w:tcPr>
            <w:tcW w:type="dxa" w:w="2880"/>
          </w:tcPr>
          <w:p>
            <w:r>
              <w:t>Product</w:t>
            </w:r>
          </w:p>
        </w:tc>
        <w:tc>
          <w:tcPr>
            <w:tcW w:type="dxa" w:w="2880"/>
          </w:tcPr>
          <w:p>
            <w:r>
              <w:t>Category</w:t>
            </w:r>
          </w:p>
        </w:tc>
        <w:tc>
          <w:tcPr>
            <w:tcW w:type="dxa" w:w="2880"/>
          </w:tcPr>
          <w:p>
            <w:r>
              <w:t>Quantity</w:t>
            </w:r>
          </w:p>
        </w:tc>
      </w:tr>
      <w:tr>
        <w:tc>
          <w:tcPr>
            <w:tcW w:type="dxa" w:w="2880"/>
          </w:tcPr>
          <w:p>
            <w:r>
              <w:t>Dell Inspiron 15</w:t>
            </w:r>
          </w:p>
        </w:tc>
        <w:tc>
          <w:tcPr>
            <w:tcW w:type="dxa" w:w="2880"/>
          </w:tcPr>
          <w:p>
            <w:r>
              <w:t>IT Equipment</w:t>
            </w:r>
          </w:p>
        </w:tc>
        <w:tc>
          <w:tcPr>
            <w:tcW w:type="dxa" w:w="2880"/>
          </w:tcPr>
          <w:p>
            <w:r>
              <w:t>50</w:t>
            </w:r>
          </w:p>
        </w:tc>
      </w:tr>
      <w:tr>
        <w:tc>
          <w:tcPr>
            <w:tcW w:type="dxa" w:w="2880"/>
          </w:tcPr>
          <w:p>
            <w:r>
              <w:t>HP LaserJet Pro</w:t>
            </w:r>
          </w:p>
        </w:tc>
        <w:tc>
          <w:tcPr>
            <w:tcW w:type="dxa" w:w="2880"/>
          </w:tcPr>
          <w:p>
            <w:r>
              <w:t>Office Equipment</w:t>
            </w:r>
          </w:p>
        </w:tc>
        <w:tc>
          <w:tcPr>
            <w:tcW w:type="dxa" w:w="2880"/>
          </w:tcPr>
          <w:p>
            <w:r>
              <w:t>25</w:t>
            </w:r>
          </w:p>
        </w:tc>
      </w:tr>
      <w:tr>
        <w:tc>
          <w:tcPr>
            <w:tcW w:type="dxa" w:w="2880"/>
          </w:tcPr>
          <w:p>
            <w:r>
              <w:t>Cisco Router 4000</w:t>
            </w:r>
          </w:p>
        </w:tc>
        <w:tc>
          <w:tcPr>
            <w:tcW w:type="dxa" w:w="2880"/>
          </w:tcPr>
          <w:p>
            <w:r>
              <w:t>Network Equipment</w:t>
            </w:r>
          </w:p>
        </w:tc>
        <w:tc>
          <w:tcPr>
            <w:tcW w:type="dxa" w:w="2880"/>
          </w:tcPr>
          <w:p>
            <w:r>
              <w:t>10</w:t>
            </w:r>
          </w:p>
        </w:tc>
      </w:tr>
    </w:tbl>
    <w:p>
      <w:pPr>
        <w:pStyle w:val="Heading2"/>
      </w:pPr>
      <w:r>
        <w:t>Schedule B: Locations</w:t>
      </w:r>
    </w:p>
    <w:tbl>
      <w:tblPr>
        <w:tblStyle w:val="TableGrid"/>
        <w:tblW w:type="auto" w:w="0"/>
        <w:tblLook w:firstColumn="1" w:firstRow="1" w:lastColumn="0" w:lastRow="0" w:noHBand="0" w:noVBand="1" w:val="04A0"/>
      </w:tblPr>
      <w:tblGrid>
        <w:gridCol w:w="4320"/>
        <w:gridCol w:w="4320"/>
      </w:tblGrid>
      <w:tr>
        <w:tc>
          <w:tcPr>
            <w:tcW w:type="dxa" w:w="4320"/>
          </w:tcPr>
          <w:p>
            <w:r>
              <w:t>Location</w:t>
            </w:r>
          </w:p>
        </w:tc>
        <w:tc>
          <w:tcPr>
            <w:tcW w:type="dxa" w:w="4320"/>
          </w:tcPr>
          <w:p>
            <w:r>
              <w:t>Region</w:t>
            </w:r>
          </w:p>
        </w:tc>
      </w:tr>
      <w:tr>
        <w:tc>
          <w:tcPr>
            <w:tcW w:type="dxa" w:w="4320"/>
          </w:tcPr>
          <w:p>
            <w:r>
              <w:t>Bangalore</w:t>
            </w:r>
          </w:p>
        </w:tc>
        <w:tc>
          <w:tcPr>
            <w:tcW w:type="dxa" w:w="4320"/>
          </w:tcPr>
          <w:p>
            <w:r>
              <w:t>India</w:t>
            </w:r>
          </w:p>
        </w:tc>
      </w:tr>
      <w:tr>
        <w:tc>
          <w:tcPr>
            <w:tcW w:type="dxa" w:w="4320"/>
          </w:tcPr>
          <w:p>
            <w:r>
              <w:t>Pune</w:t>
            </w:r>
          </w:p>
        </w:tc>
        <w:tc>
          <w:tcPr>
            <w:tcW w:type="dxa" w:w="4320"/>
          </w:tcPr>
          <w:p>
            <w:r>
              <w:t>India</w:t>
            </w:r>
          </w:p>
        </w:tc>
      </w:tr>
      <w:tr>
        <w:tc>
          <w:tcPr>
            <w:tcW w:type="dxa" w:w="4320"/>
          </w:tcPr>
          <w:p>
            <w:r>
              <w:t>Mumbai</w:t>
            </w:r>
          </w:p>
        </w:tc>
        <w:tc>
          <w:tcPr>
            <w:tcW w:type="dxa" w:w="4320"/>
          </w:tcPr>
          <w:p>
            <w:r>
              <w:t>India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