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F3864"/>
          <w:sz w:val="40"/>
          <w:szCs w:val="40"/>
        </w:rPr>
        <w:t xml:space="preserve">FINANCIAL FRAUD DETECTION &amp;</w:t>
      </w:r>
    </w:p>
    <w:p>
      <w:pPr>
        <w:jc w:val="center"/>
      </w:pPr>
      <w:r>
        <w:rPr>
          <w:b/>
          <w:bCs/>
          <w:color w:val="1F3864"/>
          <w:sz w:val="40"/>
          <w:szCs w:val="40"/>
        </w:rPr>
        <w:t xml:space="preserve">TRANSACTION ANOMALY PREDICTION SYSTEM</w:t>
      </w:r>
    </w:p>
    <w:p>
      <w:pPr>
        <w:spacing w:after="100" w:before="200"/>
        <w:jc w:val="center"/>
      </w:pPr>
      <w:r>
        <w:rPr>
          <w:i/>
          <w:iCs/>
          <w:color w:val="C00000"/>
          <w:sz w:val="26"/>
          <w:szCs w:val="26"/>
        </w:rPr>
        <w:t xml:space="preserve">Data Science Project Report</w:t>
      </w:r>
    </w:p>
    <w:p>
      <w:pPr>
        <w:spacing w:before="600"/>
        <w:jc w:val="center"/>
      </w:pPr>
      <w:r>
        <w:rPr>
          <w:color w:val="595959"/>
          <w:sz w:val="20"/>
          <w:szCs w:val="20"/>
        </w:rPr>
        <w:t xml:space="preserve">Prepared for: Real-Time Banking Fraud Prevention Initiative</w:t>
      </w:r>
    </w:p>
    <w:p>
      <w:pPr>
        <w:spacing w:before="100"/>
        <w:jc w:val="center"/>
      </w:pPr>
      <w:r>
        <w:rPr>
          <w:color w:val="595959"/>
          <w:sz w:val="20"/>
          <w:szCs w:val="20"/>
        </w:rPr>
        <w:t xml:space="preserve">Author: Machine Learning Engineering Team</w:t>
      </w:r>
    </w:p>
    <w:p>
      <w:pPr>
        <w:spacing w:before="100"/>
        <w:jc w:val="center"/>
      </w:pPr>
      <w:r>
        <w:rPr>
          <w:color w:val="595959"/>
          <w:sz w:val="20"/>
          <w:szCs w:val="20"/>
        </w:rPr>
        <w:t xml:space="preserve">Report Date: August 2026</w:t>
      </w:r>
    </w:p>
    <w:p>
      <w:pPr>
        <w:spacing w:after="600" w:before="100"/>
        <w:jc w:val="center"/>
      </w:pPr>
      <w:r>
        <w:rPr>
          <w:i/>
          <w:iCs/>
          <w:color w:val="595959"/>
          <w:sz w:val="18"/>
          <w:szCs w:val="18"/>
        </w:rPr>
        <w:t xml:space="preserve">Dataset: Synthetic Transaction Data (400,000 records) — see Section 3 for data provenance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160" w:line="300"/>
      </w:pPr>
      <w:r>
        <w:t xml:space="preserve">This report documents the design, development, and evaluation of a Real-Time Transaction Fraud Detection System built as an end-to-end machine learning pipeline — from raw transaction data through feature engineering, model training, evaluation, and deployment as an interactive Streamlit application.</w:t>
      </w:r>
    </w:p>
    <w:p>
      <w:pPr>
        <w:spacing w:after="160" w:line="300"/>
      </w:pPr>
      <w:r>
        <w:t xml:space="preserve">The objective was to build a binary classifier capable of distinguishing fraudulent from legitimate transactions, and to layer on top of it a risk-scoring interface suitable for a real-time decisioning application: fraud probability, a 0–100 risk score, a Low/Medium/High risk label, and a complementary unsupervised anomaly signal.</w:t>
      </w:r>
    </w:p>
    <w:p>
      <w:pPr>
        <w:pStyle w:val="Heading2"/>
        <w:spacing w:after="140" w:before="280"/>
      </w:pPr>
      <w:r>
        <w:t xml:space="preserve">Key Findings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Three classifiers were trained and benchmarked: Logistic Regression, Random Forest, and XGBoost, on a 400,000-row, 25-column transaction dataset.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All three models achieved 1.00 (100%) across Accuracy, Precision, Recall, F1-Score, and ROC-AUC on the held-out test set.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This is flagged as a critical finding requiring interpretation, not a genuine production-ready result — see Section 5 for full analysis. Feature-importance inspection shows two engineered features (transaction_velocity and unusual_location) alone account for 94.2% of model decision weight, indicating the classifier is exploiting near-deterministic synthetic generation rules rather than learning generalizable fraud behavior.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The system was deployed as a Streamlit web application with a live transaction-entry form, dual-model scoring (supervised classifier + Isolation Forest anomaly detector), and an interpretability panel.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The report's core recommendation is validation against real-world transaction data (e.g., the Kaggle IEEE-CIS or ULB Credit Card Fraud datasets) before any production consideration.</w:t>
      </w:r>
    </w:p>
    <w:p>
      <w:pPr>
        <w:pStyle w:val="Heading1"/>
        <w:spacing w:after="200" w:before="400"/>
      </w:pPr>
      <w:r>
        <w:t xml:space="preserve">2. Problem Statement &amp; Business Impact</w:t>
      </w:r>
    </w:p>
    <w:p>
      <w:pPr>
        <w:pStyle w:val="Heading2"/>
        <w:spacing w:after="140" w:before="280"/>
      </w:pPr>
      <w:r>
        <w:t xml:space="preserve">2.1 The Challenge of Financial Transaction Fraud</w:t>
      </w:r>
    </w:p>
    <w:p>
      <w:pPr>
        <w:spacing w:after="160" w:line="300"/>
      </w:pPr>
      <w:r>
        <w:t xml:space="preserve">Financial fraud detection is fundamentally a severe class-imbalance problem. In the dataset used for this project, fraudulent transactions represent approximately 1.2% of all records (4,801 of 400,000) — a ratio broadly consistent with real-world card-present and card-not-present fraud rates, which typically fall between 0.1% and 2% depending on payment channel. A classifier that predicts "legitimate" for every transaction would still achieve 98.8% accuracy while catching zero fraud, which is why this report deliberately does not treat accuracy as the primary success metric (see Section 5).</w:t>
      </w:r>
    </w:p>
    <w:p>
      <w:pPr>
        <w:spacing w:after="160" w:line="300"/>
      </w:pPr>
      <w:r>
        <w:t xml:space="preserve">Beyond class imbalance, fraud detection carries an adversarial dimension that most classification problems do not: the underlying patterns are non-stationary. Fraudsters actively adapt to detection rules, meaning a model's effectiveness decays over time ("concept drift") in a way that, for example, a static image classifier's does not. This has direct implications for the retraining cadence and monitoring strategy discussed in Section 7.</w:t>
      </w:r>
    </w:p>
    <w:p>
      <w:pPr>
        <w:pStyle w:val="Heading2"/>
        <w:spacing w:after="140" w:before="280"/>
      </w:pPr>
      <w:r>
        <w:t xml:space="preserve">2.2 Cost of False Positives vs. False Negatives</w:t>
      </w:r>
    </w:p>
    <w:p>
      <w:pPr>
        <w:spacing w:after="160" w:line="300"/>
      </w:pPr>
      <w:r>
        <w:t xml:space="preserve">Any operating threshold for this system embeds a business trade-off between two distinct costs: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Error Type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35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Business Cost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False Positive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Legitimate transaction flagged as fraud</w:t>
            </w:r>
          </w:p>
        </w:tc>
        <w:tc>
          <w:tcPr>
            <w:tcW w:type="dxa" w:w="3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Declined legitimate purchase, customer friction, potential customer churn, manual review workload, support costs</w:t>
            </w:r>
          </w:p>
        </w:tc>
      </w:tr>
      <w:tr>
        <w:tc>
          <w:tcPr>
            <w:tcW w:type="dxa" w:w="2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False Negative</w:t>
            </w:r>
          </w:p>
        </w:tc>
        <w:tc>
          <w:tcPr>
            <w:tcW w:type="dxa" w:w="3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Fraudulent transaction passed as legitimate</w:t>
            </w:r>
          </w:p>
        </w:tc>
        <w:tc>
          <w:tcPr>
            <w:tcW w:type="dxa" w:w="35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Direct financial loss, chargeback liability, regulatory/compliance exposure, reputational damage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t xml:space="preserve">These costs are asymmetric and context-dependent: a $15 grocery false decline and a $15,000 wire-transfer false decline carry very different customer-relationship costs, just as a missed $15 fraud and a missed $15,000 fraud carry very different loss costs. This is why the recommended decisioning layer (Section 6) exposes a continuous risk score and a tiered risk level rather than a single binary cutoff — it allows the business to route Medium-risk transactions to step-up authentication rather than forcing a blunt approve/decline decision.</w:t>
      </w:r>
    </w:p>
    <w:p>
      <w:pPr>
        <w:pStyle w:val="Heading1"/>
        <w:spacing w:after="200" w:before="400"/>
      </w:pPr>
      <w:r>
        <w:t xml:space="preserve">3. Data Architecture &amp; Feature Engineering</w:t>
      </w:r>
    </w:p>
    <w:p>
      <w:pPr>
        <w:pStyle w:val="Heading2"/>
        <w:spacing w:after="140" w:before="280"/>
      </w:pPr>
      <w:r>
        <w:t xml:space="preserve">3.1 Dataset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50"/>
      </w:tblGrid>
      <w:tr>
        <w:trPr>
          <w:tblHeader/>
        </w:trPr>
        <w:tc>
          <w:tcPr>
            <w:tcW w:type="dxa" w:w="3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58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Rows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400,000</w:t>
            </w:r>
          </w:p>
        </w:tc>
      </w:tr>
      <w:tr>
        <w:tc>
          <w:tcPr>
            <w:tcW w:type="dxa" w:w="3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Columns (raw)</w:t>
            </w:r>
          </w:p>
        </w:tc>
        <w:tc>
          <w:tcPr>
            <w:tcW w:type="dxa" w:w="58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Columns (post one-hot encoding)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71</w:t>
            </w:r>
          </w:p>
        </w:tc>
      </w:tr>
      <w:tr>
        <w:tc>
          <w:tcPr>
            <w:tcW w:type="dxa" w:w="3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Fraud label</w:t>
            </w:r>
          </w:p>
        </w:tc>
        <w:tc>
          <w:tcPr>
            <w:tcW w:type="dxa" w:w="58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fraud_label (0 = Legitimate, 1 = Fraudulent)</w:t>
            </w:r>
          </w:p>
        </w:tc>
      </w:tr>
      <w:tr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Fraud cases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4,801 (1.20%)</w:t>
            </w:r>
          </w:p>
        </w:tc>
      </w:tr>
      <w:tr>
        <w:tc>
          <w:tcPr>
            <w:tcW w:type="dxa" w:w="3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Legitimate cases</w:t>
            </w:r>
          </w:p>
        </w:tc>
        <w:tc>
          <w:tcPr>
            <w:tcW w:type="dxa" w:w="58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395,199 (98.80%)</w:t>
            </w:r>
          </w:p>
        </w:tc>
      </w:tr>
      <w:tr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Missing values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 (verified via df.isnull().sum())</w:t>
            </w:r>
          </w:p>
        </w:tc>
      </w:tr>
      <w:tr>
        <w:tc>
          <w:tcPr>
            <w:tcW w:type="dxa" w:w="3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Duplicate rows</w:t>
            </w:r>
          </w:p>
        </w:tc>
        <w:tc>
          <w:tcPr>
            <w:tcW w:type="dxa" w:w="58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 (verified via df.duplicated().sum())</w:t>
            </w:r>
          </w:p>
        </w:tc>
      </w:tr>
      <w:tr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 provenance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Synthetic — generator-created for pipeline development; not sourced from a real financial institution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t xml:space="preserve">The dataset spans customer, merchant, transaction, and behavioral/security dimensions: transaction_id, transaction_date/time, transaction_amount, transaction_type, payment_method, currency, customer_id, customer_age, customer_location, account_type, account_age_days, previous_transaction_amount, average_transaction_amount, transaction_frequency, merchant_id, merchant_category, merchant_location, device_type, international_transaction, failed_transaction_count, transaction_velocity, unusual_location, new_device, and the target fraud_label.</w:t>
      </w:r>
    </w:p>
    <w:p>
      <w:pPr>
        <w:pStyle w:val="Heading2"/>
        <w:spacing w:after="140" w:before="280"/>
      </w:pPr>
      <w:r>
        <w:t xml:space="preserve">3.2 Engineered Features</w:t>
      </w:r>
    </w:p>
    <w:p>
      <w:pPr>
        <w:spacing w:after="160" w:line="300"/>
      </w:pPr>
      <w:r>
        <w:t xml:space="preserve">Beyond the raw columns, the notebook derives several signal-dense features prior to modeling: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525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transaction_year / transaction_month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Temporal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Extracted from transaction_date to capture seasonal/periodic effects</w:t>
            </w:r>
          </w:p>
        </w:tc>
      </w:tr>
      <w:tr>
        <w:tc>
          <w:tcPr>
            <w:tcW w:type="dxa" w:w="2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amount_vs_avg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Behavioral ratio</w:t>
            </w:r>
          </w:p>
        </w:tc>
        <w:tc>
          <w:tcPr>
            <w:tcW w:type="dxa" w:w="52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transaction_amount ÷ average_transaction_amount — flags spend spikes relative to a customer's own baseline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amount_vs_prev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Behavioral ratio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transaction_amount ÷ previous_transaction_amount — flags abrupt transaction-to-transaction jumps</w:t>
            </w:r>
          </w:p>
        </w:tc>
      </w:tr>
      <w:tr>
        <w:tc>
          <w:tcPr>
            <w:tcW w:type="dxa" w:w="2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location_mismatch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Binary flag</w:t>
            </w:r>
          </w:p>
        </w:tc>
        <w:tc>
          <w:tcPr>
            <w:tcW w:type="dxa" w:w="52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customer_location ≠ merchant_location — proxy for geographically anomalous spending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Categorical encodings (×6)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One-hot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transaction_type, payment_method, currency, account_type, merchant_category, device_type expanded via OneHotEncoder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40" w:before="280"/>
      </w:pPr>
      <w:r>
        <w:t xml:space="preserve">3.3 Preprocessing Pipeline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High-cardinality identifier columns (transaction_id, customer_id, merchant_id) were dropped prior to encoding — correctly excluded, as unique IDs carry no generalizable signal and would otherwise let a tree-based model memorize individual entities.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Categorical variables were encoded with sklearn's OneHotEncoder, expanding the raw 25 columns to 71 model-ready features.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Numerical nulls were imputed with the column median; categorical nulls with the column mode (a no-op here, since the dataset had zero missing values, but the code correctly guards against it for future real-world data).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Feature scaling: applied ahead of the Isolation Forest anomaly detector (distance-based models require standardized inputs); tree-based classifiers (Random Forest, XGBoost) were trained on unscaled features, which is appropriate since they are scale-invariant.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Train/test split: stratified 80/20 split (320,000 train / 80,000 test) preserving the 1.2% fraud ratio in both partitions — verified in the notebook output (3,841 fraud in train, 960 fraud in test).</w:t>
      </w:r>
    </w:p>
    <w:p>
      <w:pPr>
        <w:pStyle w:val="Heading1"/>
        <w:spacing w:after="200" w:before="400"/>
      </w:pPr>
      <w:r>
        <w:t xml:space="preserve">4. Model Development &amp; Methodology</w:t>
      </w:r>
    </w:p>
    <w:p>
      <w:pPr>
        <w:pStyle w:val="Heading2"/>
        <w:spacing w:after="140" w:before="280"/>
      </w:pPr>
      <w:r>
        <w:t xml:space="preserve">4.1 Benchmarked Classifiers</w:t>
      </w:r>
    </w:p>
    <w:p>
      <w:pPr>
        <w:spacing w:after="160" w:line="300"/>
      </w:pPr>
      <w:r>
        <w:t xml:space="preserve">Three supervised classifiers were trained and compared on identical train/test splits: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750"/>
        <w:gridCol w:w="25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4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Hyperparameters</w:t>
            </w:r>
          </w:p>
        </w:tc>
        <w:tc>
          <w:tcPr>
            <w:tcW w:type="dxa" w:w="2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Imbalance Handling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max_iter=1000, random_state=42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class_weight='balanced'</w:t>
            </w:r>
          </w:p>
        </w:tc>
      </w:tr>
      <w:tr>
        <w:tc>
          <w:tcPr>
            <w:tcW w:type="dxa" w:w="2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47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n_estimators=150, max_depth=15, min_samples_split=10, random_state=42</w:t>
            </w:r>
          </w:p>
        </w:tc>
        <w:tc>
          <w:tcPr>
            <w:tcW w:type="dxa" w:w="2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class_weight='balanced'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XGBoost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n_estimators=200, max_depth=6, learning_rate=0.05, subsample=0.8, colsample_bytree=0.8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(no explicit scale_pos_weight set — noted as a gap in Section 7)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t xml:space="preserve">XGBoost was retained as the primary production candidate for its feature-importance interpretability and typically stronger handling of non-linear feature interactions at scale; Logistic Regression was retained as an interpretable baseline; Random Forest served as a robustness cross-check between the two.</w:t>
      </w:r>
    </w:p>
    <w:p>
      <w:pPr>
        <w:pStyle w:val="Heading2"/>
        <w:spacing w:after="140" w:before="280"/>
      </w:pPr>
      <w:r>
        <w:t xml:space="preserve">4.2 Secondary Model: Unsupervised Anomaly Detection</w:t>
      </w:r>
    </w:p>
    <w:p>
      <w:pPr>
        <w:spacing w:after="160" w:line="300"/>
      </w:pPr>
      <w:r>
        <w:t xml:space="preserve">An Isolation Forest was layered on top of the supervised classifier, trained exclusively on transactions labeled legitimate (fraud-free) so that it learns the shape of "normal" behavior rather than the shape of known fraud. At inference time, a transaction can therefore be flagged along two independent axes: (1) the supervised model's fraud probability, and (2) whether the transaction falls outside the Isolation Forest's learned boundary of normal behavior — a dual-signal design that helps surface fraud patterns that don't resemble any pattern seen in the labeled training fraud, which is the classic blind spot of a supervised-only approach.</w:t>
      </w:r>
    </w:p>
    <w:p>
      <w:pPr>
        <w:pStyle w:val="Heading2"/>
        <w:spacing w:after="140" w:before="280"/>
      </w:pPr>
      <w:r>
        <w:t xml:space="preserve">4.3 Artifact Serialization</w:t>
      </w:r>
    </w:p>
    <w:p>
      <w:pPr>
        <w:spacing w:after="160" w:line="300"/>
      </w:pPr>
      <w:r>
        <w:t xml:space="preserve">Trained artifacts were serialized with joblib for deployment reuse: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financial_fraud_model.pkl — the trained XGBoost classifier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fraud_encoder.pkl — the fitted OneHotEncoder (critical: must be reused at inference time, never refit, so categorical encodings stay consistent between training and serving)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fraud_model_info.pkl — a metadata bundle (categorical_columns, numerical_columns, feature_names) so the serving layer can reconstruct the exact 71-column feature vector the model expects</w:t>
      </w:r>
    </w:p>
    <w:p>
      <w:pPr>
        <w:spacing w:after="160" w:line="300"/>
      </w:pPr>
      <w:r>
        <w:t xml:space="preserve">This is a sound minimal serialization strategy for a prototype. Section 7 recommends extending it with a model registry (e.g., MLflow) once multiple model versions need to be tracked and compared.</w:t>
      </w:r>
    </w:p>
    <w:p>
      <w:pPr>
        <w:pStyle w:val="Heading1"/>
        <w:spacing w:after="200" w:before="400"/>
      </w:pPr>
      <w:r>
        <w:t xml:space="preserve">5. Model Evaluation &amp; Performance Analysis</w:t>
      </w:r>
    </w:p>
    <w:p>
      <w:pPr>
        <w:pStyle w:val="Heading2"/>
        <w:spacing w:after="140" w:before="280"/>
      </w:pPr>
      <w:r>
        <w:t xml:space="preserve">5.1 Headline Metrics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8"/>
        <w:gridCol w:w="1558"/>
        <w:gridCol w:w="1558"/>
        <w:gridCol w:w="1558"/>
        <w:gridCol w:w="1558"/>
        <w:gridCol w:w="1558"/>
      </w:tblGrid>
      <w:tr>
        <w:trPr>
          <w:tblHeader/>
        </w:trPr>
        <w:tc>
          <w:tcPr>
            <w:tcW w:type="dxa" w:w="155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55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55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55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55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F1-Score</w:t>
            </w:r>
          </w:p>
        </w:tc>
        <w:tc>
          <w:tcPr>
            <w:tcW w:type="dxa" w:w="155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ROC-AUC</w:t>
            </w:r>
          </w:p>
        </w:tc>
      </w:tr>
      <w:tr>
        <w:tc>
          <w:tcPr>
            <w:tcW w:type="dxa" w:w="155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55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1.0000</w:t>
            </w:r>
          </w:p>
        </w:tc>
        <w:tc>
          <w:tcPr>
            <w:tcW w:type="dxa" w:w="155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1.0000</w:t>
            </w:r>
          </w:p>
        </w:tc>
        <w:tc>
          <w:tcPr>
            <w:tcW w:type="dxa" w:w="155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1.0000</w:t>
            </w:r>
          </w:p>
        </w:tc>
        <w:tc>
          <w:tcPr>
            <w:tcW w:type="dxa" w:w="155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1.0000</w:t>
            </w:r>
          </w:p>
        </w:tc>
        <w:tc>
          <w:tcPr>
            <w:tcW w:type="dxa" w:w="155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1.0000</w:t>
            </w:r>
          </w:p>
        </w:tc>
      </w:tr>
      <w:tr>
        <w:tc>
          <w:tcPr>
            <w:tcW w:type="dxa" w:w="155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55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1.0000</w:t>
            </w:r>
          </w:p>
        </w:tc>
        <w:tc>
          <w:tcPr>
            <w:tcW w:type="dxa" w:w="155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1.0000</w:t>
            </w:r>
          </w:p>
        </w:tc>
        <w:tc>
          <w:tcPr>
            <w:tcW w:type="dxa" w:w="155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1.0000</w:t>
            </w:r>
          </w:p>
        </w:tc>
        <w:tc>
          <w:tcPr>
            <w:tcW w:type="dxa" w:w="155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1.0000</w:t>
            </w:r>
          </w:p>
        </w:tc>
        <w:tc>
          <w:tcPr>
            <w:tcW w:type="dxa" w:w="155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1.0000</w:t>
            </w:r>
          </w:p>
        </w:tc>
      </w:tr>
      <w:tr>
        <w:tc>
          <w:tcPr>
            <w:tcW w:type="dxa" w:w="155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XGBoost</w:t>
            </w:r>
          </w:p>
        </w:tc>
        <w:tc>
          <w:tcPr>
            <w:tcW w:type="dxa" w:w="155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1.0000</w:t>
            </w:r>
          </w:p>
        </w:tc>
        <w:tc>
          <w:tcPr>
            <w:tcW w:type="dxa" w:w="155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1.0000</w:t>
            </w:r>
          </w:p>
        </w:tc>
        <w:tc>
          <w:tcPr>
            <w:tcW w:type="dxa" w:w="155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1.0000</w:t>
            </w:r>
          </w:p>
        </w:tc>
        <w:tc>
          <w:tcPr>
            <w:tcW w:type="dxa" w:w="155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1.0000</w:t>
            </w:r>
          </w:p>
        </w:tc>
        <w:tc>
          <w:tcPr>
            <w:tcW w:type="dxa" w:w="155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1.0000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t xml:space="preserve">Confusion matrix (all three models, test set n=80,000): 79,040 true negatives, 960 true positives, 0 false positives, 0 false negatives — a perfect separation of the two classes.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CE4E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⚠ Critical Evaluation Note</w:t>
            </w:r>
          </w:p>
          <w:p>
            <w:pPr>
              <w:spacing w:line="290"/>
            </w:pPr>
            <w:r>
              <w:rPr>
                <w:color w:val="222222"/>
                <w:sz w:val="21"/>
                <w:szCs w:val="21"/>
              </w:rPr>
              <w:t xml:space="preserve">A perfect 1.0000 score across every metric, for every model architecture, is not a positive result in fraud modeling — it is a signal to investigate the data before the model. Genuine fraud signal in real-world data is noisy and overlapping between classes; three structurally different algorithms (a linear model, a bagged tree ensemble, and a boosted tree ensemble) independently reaching perfect separation almost always indicates the data-generating process itself embeds a near-deterministic rule the model can exploit, rather than the model learning a robust, generalizable notion of fraud.</w:t>
            </w:r>
          </w:p>
        </w:tc>
      </w:tr>
    </w:tbl>
    <w:p>
      <w:pPr>
        <w:pStyle w:val="Heading2"/>
        <w:spacing w:after="140" w:before="280"/>
      </w:pPr>
      <w:r>
        <w:t xml:space="preserve">5.2 Root-Cause Analysis</w:t>
      </w:r>
    </w:p>
    <w:p>
      <w:pPr>
        <w:spacing w:after="160" w:line="300"/>
      </w:pPr>
      <w:r>
        <w:t xml:space="preserve">The feature-importance output from the XGBoost model provides direct evidence for this: transaction_velocity accounts for 73.7% of total model decision weight, and unusual_location a further 20.5% — together, two features explain 94.2% of the model's decisions. This concentration, combined with the perfect test-set separation, points to the underlying data-generation logic rather than to genuine data leakage in the pandas-engineering sense (no post-outcome column, such as a chargeback flag or investigation status, was included as a feature). The more precise diagnosis is: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Synthetic generation artifact (primary explanation): the dataset's fraud-labeling rule appears to be closely, possibly deterministically, correlated with transaction_velocity and unusual_location at the point of data generation — meaning the label is a near-direct function of two of the input features rather than an emergent pattern across many weakly-correlated signals, as in real fraud.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Class separability, not leakage, in the strict sense: none of the retained features (transaction_id, customer_id, merchant_id were dropped) are computed after the fraud outcome is known, so this is not classical target leakage. It is a data-realism problem, not a pipeline-correctness bug.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Absence of label noise: real fraud datasets contain mislabeled transactions (fraud that was never caught, or legitimate transactions incorrectly charged back) — this synthetic set has none, which further inflates achievable separation.</w:t>
      </w:r>
    </w:p>
    <w:p>
      <w:pPr>
        <w:pStyle w:val="Heading2"/>
        <w:spacing w:after="140" w:before="280"/>
      </w:pPr>
      <w:r>
        <w:t xml:space="preserve">5.3 Recommended Real-World Validation Steps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Re-run this exact pipeline against a real, labeled fraud dataset (e.g., Kaggle's IEEE-CIS Fraud Detection or the ULB Credit Card Fraud dataset) and treat PR-AUC in the 0.75–0.90 range, not 1.0, as the expected and acceptable outcome for a strong model.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Prioritize PR-AUC over ROC-AUC as the primary evaluation metric going forward — with 1.2% positive-class prevalence, ROC-AUC is optimistic because the false-positive rate denominator (true negatives) is very large; PR-AUC is far more sensitive to the precision/recall trade-off that actually matters operationally.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Run a feature-ablation test: retrain XGBoost with transaction_velocity and unusual_location removed, and confirm that performance drops to a realistic range — if it does not, that further confirms the two features are functioning as a near-deterministic proxy for the label in this dataset.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Introduce temporal (out-of-time) validation — train on an earlier date range and test on a later one — rather than a random split, since random splitting can leak temporal patterns (e.g., a merchant that only appears in the fraud-heavy period) across the train/test boundary.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Add label-noise robustness testing (e.g., randomly flip a small percentage of training labels) to confirm the model degrades gracefully rather than catastrophically, which real-world label noise will otherwise expose in production.</w:t>
      </w:r>
    </w:p>
    <w:p>
      <w:pPr>
        <w:pStyle w:val="Heading1"/>
        <w:spacing w:after="200" w:before="400"/>
      </w:pPr>
      <w:r>
        <w:t xml:space="preserve">6. System Deployment &amp; Interactive Interface</w:t>
      </w:r>
    </w:p>
    <w:p>
      <w:pPr>
        <w:pStyle w:val="Heading2"/>
        <w:spacing w:after="140" w:before="280"/>
      </w:pPr>
      <w:r>
        <w:t xml:space="preserve">6.1 Streamlit Application Overview</w:t>
      </w:r>
    </w:p>
    <w:p>
      <w:pPr>
        <w:spacing w:after="160" w:line="300"/>
      </w:pPr>
      <w:r>
        <w:t xml:space="preserve">The trained model was deployed as an interactive Streamlit application (fraud_detection_app.py) simulating a real-time transaction-scoring interface. The application loads the serialized classifier, encoder, and anomaly detector once at startup (via @st.cache_resource, avoiding reload on every user interaction), then exposes a transaction-entry form covering all 16 core input fields (amount, type, payment method, currency, merchant category, device type, international flag, customer age, account type/age, average/previous transaction amounts, transaction frequency, failed-attempt count, new-device flag, unusual-location flag, and transaction time).</w:t>
      </w:r>
    </w:p>
    <w:p>
      <w:pPr>
        <w:pStyle w:val="Heading2"/>
        <w:spacing w:after="140" w:before="280"/>
      </w:pPr>
      <w:r>
        <w:t xml:space="preserve">6.2 Real-Time Scoring Methodology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70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Computation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Prediction</w:t>
            </w:r>
          </w:p>
        </w:tc>
        <w:tc>
          <w:tcPr>
            <w:tcW w:type="dxa" w:w="7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"FRAUDULENT" if fraud probability ≥ 0.5, else "LEGITIMATE"</w:t>
            </w:r>
          </w:p>
        </w:tc>
      </w:tr>
      <w:tr>
        <w:tc>
          <w:tcPr>
            <w:tcW w:type="dxa" w:w="2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Fraud Probability</w:t>
            </w:r>
          </w:p>
        </w:tc>
        <w:tc>
          <w:tcPr>
            <w:tcW w:type="dxa" w:w="70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clf.predict_proba(X)[0,1] — the classifier's raw probability estimate for the fraud class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Risk Score (0–100)</w:t>
            </w:r>
          </w:p>
        </w:tc>
        <w:tc>
          <w:tcPr>
            <w:tcW w:type="dxa" w:w="7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Fraud probability × 100, rounded to one decimal place</w:t>
            </w:r>
          </w:p>
        </w:tc>
      </w:tr>
      <w:tr>
        <w:tc>
          <w:tcPr>
            <w:tcW w:type="dxa" w:w="2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Risk Level</w:t>
            </w:r>
          </w:p>
        </w:tc>
        <w:tc>
          <w:tcPr>
            <w:tcW w:type="dxa" w:w="70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Low: score &lt; 40 · Medium: 40 ≤ score &lt; 70 · High: score ≥ 70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Anomaly Flag</w:t>
            </w:r>
          </w:p>
        </w:tc>
        <w:tc>
          <w:tcPr>
            <w:tcW w:type="dxa" w:w="7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Isolation Forest prediction on the same feature vector (scaled); YES if the transaction falls outside the learned boundary of normal (legitimate-only) behavior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t xml:space="preserve">The dual-model design is deliberate: the supervised classifier answers "does this resemble fraud we've seen before," while the Isolation Forest independently answers "does this look unlike normal behavior at all" — a transaction can be low-probability fraud but still anomalous, which is a useful secondary signal for manual review queues even when the primary classifier is confident it is legitimate.</w:t>
      </w:r>
    </w:p>
    <w:p>
      <w:pPr>
        <w:pStyle w:val="Heading2"/>
        <w:spacing w:after="140" w:before="280"/>
      </w:pPr>
      <w:r>
        <w:t xml:space="preserve">6.3 Interpretability Layer</w:t>
      </w:r>
    </w:p>
    <w:p>
      <w:pPr>
        <w:spacing w:after="160" w:line="300"/>
      </w:pPr>
      <w:r>
        <w:t xml:space="preserve">The application surfaces the top contributing features (via clf.feature_importances_) alongside each prediction, showing both the model's global feature ranking and that specific transaction's values for the top features — giving a fraud analyst a first-pass explanation for why a transaction was flagged, which is a practical requirement for any fraud tool that a human reviewer will act on, not just consume passively.</w:t>
      </w:r>
    </w:p>
    <w:p>
      <w:pPr>
        <w:pStyle w:val="Heading1"/>
        <w:spacing w:after="200" w:before="400"/>
      </w:pPr>
      <w:r>
        <w:t xml:space="preserve">7. Key Recommendations &amp; Future Scope</w:t>
      </w:r>
    </w:p>
    <w:p>
      <w:pPr>
        <w:pStyle w:val="Heading2"/>
        <w:spacing w:after="140" w:before="280"/>
      </w:pPr>
      <w:r>
        <w:t xml:space="preserve">7.1 Handling Concept Drift &amp; Non-Stationary Fraud Patterns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Implement scheduled retraining (e.g., weekly or monthly, tuned to observed drift rate) rather than a static, one-time-trained model, since fraud tactics evolve continuously.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Monitor for both data drift (input feature distributions shifting) and concept drift (the relationship between features and the fraud label shifting) using statistical tests (e.g., Population Stability Index, Kolmogorov–Smirnov) on a rolling window.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Track live precision/recall against a delayed ground-truth feed (confirmed chargebacks/investigations), since fraud labels in production typically arrive weeks after the transaction — building this feedback loop is itself a non-trivial engineering task.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Maintain a champion/challenger setup: keep the currently deployed model as "champion" while continuously training and shadow-scoring a "challenger" on live traffic before promotion.</w:t>
      </w:r>
    </w:p>
    <w:p>
      <w:pPr>
        <w:pStyle w:val="Heading2"/>
        <w:spacing w:after="140" w:before="280"/>
      </w:pPr>
      <w:r>
        <w:t xml:space="preserve">7.2 Production Pipeline Integration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9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Serving layer</w:t>
            </w:r>
          </w:p>
        </w:tc>
        <w:tc>
          <w:tcPr>
            <w:tcW w:type="dxa" w:w="6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Wrap the model behind a FastAPI service exposing a /predict endpoint with sub-100ms latency target; Streamlit is appropriate for demos and analyst tooling, not high-throughput transaction serving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Containerization</w:t>
            </w:r>
          </w:p>
        </w:tc>
        <w:tc>
          <w:tcPr>
            <w:tcW w:type="dxa" w:w="69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Package the FastAPI service, model artifacts, and dependencies in Docker for consistent deployment across environments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CI/CD</w:t>
            </w:r>
          </w:p>
        </w:tc>
        <w:tc>
          <w:tcPr>
            <w:tcW w:type="dxa" w:w="6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Automate testing (unit tests on feature engineering logic, integration tests on the scoring endpoint) and deployment on every model or code change</w:t>
            </w:r>
          </w:p>
        </w:tc>
      </w:tr>
      <w:tr>
        <w:tc>
          <w:tcPr>
            <w:tcW w:type="dxa" w:w="2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Experiment tracking</w:t>
            </w:r>
          </w:p>
        </w:tc>
        <w:tc>
          <w:tcPr>
            <w:tcW w:type="dxa" w:w="69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Adopt MLflow (or similar) to log hyperparameters, metrics, and artifacts per training run, replacing the current manual joblib.dump() approach with a queryable model registry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Feature store</w:t>
            </w:r>
          </w:p>
        </w:tc>
        <w:tc>
          <w:tcPr>
            <w:tcW w:type="dxa" w:w="6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Move average_transaction_amount, transaction_frequency, and transaction_velocity from static/batch-computed fields to a real-time feature store (e.g., streaming aggregation via Kafka + Redis) so they reflect true up-to-the-second customer behavior in production</w:t>
            </w:r>
          </w:p>
        </w:tc>
      </w:tr>
      <w:tr>
        <w:tc>
          <w:tcPr>
            <w:tcW w:type="dxa" w:w="2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Monitoring</w:t>
            </w:r>
          </w:p>
        </w:tc>
        <w:tc>
          <w:tcPr>
            <w:tcW w:type="dxa" w:w="69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Deploy model-performance dashboards (prediction distribution, drift metrics, latency) alongside standard application observability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40" w:before="280"/>
      </w:pPr>
      <w:r>
        <w:t xml:space="preserve">7.3 Modeling Improvements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Set scale_pos_weight explicitly in the XGBoost configuration (currently unset) to match the ~82:1 class ratio, consistent with the class_weight='balanced' already applied to the other two models.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Once validated on real data, evaluate SHAP values in place of raw feature_importances_ for per-prediction explanations — SHAP correctly attributes both positive and negative contributions per transaction, which raw importances cannot.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Consider LightGBM as an additional benchmark for production candidacy — typically faster to train and score than XGBoost at comparable accuracy, which matters for real-time latency budgets.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t xml:space="preserve">Re-tune the risk-level thresholds (currently Low &lt;40, Medium 40–70, High ≥70) against real precision/recall trade-offs once validated on production-representative data, rather than the round-number defaults used in this prototype.</w:t>
      </w:r>
    </w:p>
    <w:p>
      <w:pPr>
        <w:pBdr>
          <w:top w:val="single" w:color="BFBFBF" w:sz="4" w:space="8"/>
        </w:pBdr>
        <w:spacing w:before="500"/>
      </w:pPr>
      <w:r>
        <w:rPr>
          <w:i/>
          <w:iCs/>
          <w:color w:val="595959"/>
          <w:sz w:val="18"/>
          <w:szCs w:val="18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Real-Time Transaction Fraud Detection System —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8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C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2026-08-19T04:01:32.517Z</dcterms:created>
  <dcterms:modified xsi:type="dcterms:W3CDTF">2026-08-19T04:01:32.535Z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