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30 July 2026</w:t>
      </w:r>
    </w:p>
    <w:p>
      <w:pPr>
        <w:spacing w:before="0" w:after="160" w:line="276" w:lineRule="auto"/>
      </w:pPr>
      <w:r>
        <w:rPr>
          <w:sz w:val="21"/>
        </w:rPr>
        <w:t>Dear Hired team,</w:t>
      </w:r>
    </w:p>
    <w:p>
      <w:pPr>
        <w:spacing w:before="0" w:after="160" w:line="276" w:lineRule="auto"/>
      </w:pPr>
      <w:r>
        <w:rPr>
          <w:sz w:val="21"/>
        </w:rPr>
        <w:t>I am excited to apply for the AI Specialist position. Your commitment to developing trustworthy, high-performing AI systems aligns perfectly with my recent work in building agentic LLM pipelines and rigorous evaluation frameworks. I have spent the last year focusing on the technical challenges of AI reliability, specifically in ensuring that model outputs meet strict performance benchmarks.</w:t>
      </w:r>
    </w:p>
    <w:p>
      <w:pPr>
        <w:spacing w:before="0" w:after="160" w:line="276" w:lineRule="auto"/>
      </w:pPr>
      <w:r>
        <w:rPr>
          <w:sz w:val="21"/>
        </w:rPr>
        <w:t>In my recent work on an agentic job-application platform, I engineered a quality-gate loop that iterates AI-generated content until it clears an 85% ATS-match threshold. This required not just building the pipeline, but creating a standardized evaluation framework to identify inconsistencies and ensure the system performed reliably under production conditions. Similarly, during my NHS performance analysis project, I utilized Random Forest classifiers to achieve 0.90–0.95 ROC-AUC, demonstrating my ability to interpret complex data and derive actionable insights that inform business-critical decisions.</w:t>
      </w:r>
    </w:p>
    <w:p>
      <w:pPr>
        <w:spacing w:before="0" w:after="160" w:line="276" w:lineRule="auto"/>
      </w:pPr>
      <w:r>
        <w:rPr>
          <w:sz w:val="21"/>
        </w:rPr>
        <w:t>My experience with TensorFlow, Scikit-learn, and bias-mitigation techniques like data augmentation and Multi-Scale Retinex preprocessing has prepared me to identify and document biases in AI outputs effectively. I am comfortable working independently in remote settings and am eager to contribute to the development of evaluation standards that impact real-world applications. I am particularly drawn to this role because of the opportunity to work with a global leader in technology to ensure AI systems are both accurate and reliable.</w:t>
      </w:r>
    </w:p>
    <w:p>
      <w:pPr>
        <w:spacing w:before="0" w:after="160" w:line="276" w:lineRule="auto"/>
      </w:pPr>
      <w:r>
        <w:rPr>
          <w:sz w:val="21"/>
        </w:rPr>
        <w:t>I would appreciate the opportunity to discuss how my technical background in model validation and performance metrics can support your client's needs.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