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July 2026</w:t>
      </w:r>
    </w:p>
    <w:p>
      <w:pPr>
        <w:spacing w:before="0" w:after="160" w:line="276" w:lineRule="auto"/>
      </w:pPr>
      <w:r>
        <w:rPr>
          <w:sz w:val="21"/>
        </w:rPr>
        <w:t>Dear Octopus Energy team,</w:t>
      </w:r>
    </w:p>
    <w:p>
      <w:pPr>
        <w:spacing w:before="0" w:after="160" w:line="276" w:lineRule="auto"/>
      </w:pPr>
      <w:r>
        <w:rPr>
          <w:sz w:val="21"/>
        </w:rPr>
        <w:t>Your mission to accelerate the transition to Net Zero through innovative, in-house trading technology is exactly the kind of challenge I am looking for. I am particularly drawn to your tech-first approach to optimizing grid-scale batteries and domestic EV charging, as it requires the exact blend of forecasting rigor and automated pipeline development that has defined my recent work.</w:t>
      </w:r>
    </w:p>
    <w:p>
      <w:pPr>
        <w:spacing w:before="0" w:after="160" w:line="276" w:lineRule="auto"/>
      </w:pPr>
      <w:r>
        <w:rPr>
          <w:sz w:val="21"/>
        </w:rPr>
        <w:t>In my recent analysis of 188 months of NHS performance data, I built a Random Forest classifier that achieved a 0.90–0.95 ROC-AUC. By utilizing advanced SQL window functions and time-series feature engineering, I was able to identify the specific drivers behind long-term performance trends. I believe this ability to build simple baselines, iterate quickly, and communicate complex findings is directly applicable to the GB intraday power market forecasting you are currently scaling.</w:t>
      </w:r>
    </w:p>
    <w:p>
      <w:pPr>
        <w:spacing w:before="0" w:after="160" w:line="276" w:lineRule="auto"/>
      </w:pPr>
      <w:r>
        <w:rPr>
          <w:sz w:val="21"/>
        </w:rPr>
        <w:t>Beyond my forecasting work, I have built end-to-end agentic pipelines in Python that handle data scraping, quality-gate loops, and automated deployment on cloud infrastructure. Whether it is maintaining 24/7 reliability for a Telegram-based automation platform or optimizing CNNs for image detection, I prioritize building robust, maintainable tools that provide immediate, actionable insights. I am comfortable working with internal and external data sources and am excited by the prospect of collaborating with your Trading and Renewables teams to build market-leading forecasting tools.</w:t>
      </w:r>
    </w:p>
    <w:p>
      <w:pPr>
        <w:spacing w:before="0" w:after="160" w:line="276" w:lineRule="auto"/>
      </w:pPr>
      <w:r>
        <w:rPr>
          <w:sz w:val="21"/>
        </w:rPr>
        <w:t>I am a huge admirer of the culture you have built at Octopus and would love the opportunity to discuss how my technical background can contribute to your trading and analytics goals. Are you available for a brief chat next week to discuss the team's current priorities?</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