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Junior AI Engineer - Remote / Contract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MSc Computer Science graduate specializing in data engineering and the development of agentic workflows using LangChain and LangGraph. Proven ability to build production-grade Python systems that transform complex datasets into actionable intelligence.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AI &amp; Agentic Workflows: </w:t>
      </w:r>
      <w:r>
        <w:t>LangChain, LangGraph, Prompt Engineering, RAG, TensorFlow, Scikit-learn</w:t>
      </w:r>
    </w:p>
    <w:p>
      <w:pPr>
        <w:spacing w:before="0" w:after="20"/>
      </w:pPr>
      <w:r>
        <w:rPr>
          <w:b/>
        </w:rPr>
        <w:t xml:space="preserve">Data Engineering: </w:t>
      </w:r>
      <w:r>
        <w:t>Python, SQL, PostgreSQL, Pandas, NumPy, ETL pipelines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FastAPI, Docker, pytest, Git, AWS, Azure, Oracle Cloud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NHS England A&amp;E performance data to identify drivers behind long-term 4-hour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advanced SQL queries using window functions and CTEs to classify performance trends, revealing a 29% target compliance rate.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achieving 0.90–0.95 ROC-AUC to predict monthly breach risk based on historical compliance features.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interactive Chart.js dashboard to visualize 141× spikes in 12-hour wait times, hosted publicly on GitHub Pages.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98.84% accuracy rate for wildfire detection by training DenseNet CNNs on 2,700+ images, exceeding baseline performance by 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Optimized model robustness using GridSearchCV, cross-validation, and Multi-Scale Retinex preprocessing to mitigate brightness variation.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modeling to surface KPIs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feature engineering and model selection best practices.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