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Specialist (Remote)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Specialist with expertise in AI Model Auditing and the development of standardized Evaluation Frameworks for high-performance systems. Proven track record in validating model outputs against benchmarks, identifying data biases, and applying fairness metrics to ensure reliable, production-grade AI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Evaluation &amp; ML: </w:t>
      </w:r>
      <w:r>
        <w:t>AI model auditing, bias detection, fairness metrics, model evaluation, cross-validation, TensorFlow, Scikit-learn</w:t>
      </w:r>
    </w:p>
    <w:p>
      <w:pPr>
        <w:spacing w:before="0" w:after="20"/>
      </w:pPr>
      <w:r>
        <w:rPr>
          <w:b/>
        </w:rPr>
        <w:t xml:space="preserve">Data Analysis &amp; Engineering: </w:t>
      </w:r>
      <w:r>
        <w:t>Python, SQL, Pandas, NumPy, data validation, ETL pipelines</w:t>
      </w:r>
    </w:p>
    <w:p>
      <w:pPr>
        <w:spacing w:before="0" w:after="20"/>
      </w:pPr>
      <w:r>
        <w:rPr>
          <w:b/>
        </w:rPr>
        <w:t xml:space="preserve">Cloud &amp; Tools: </w:t>
      </w:r>
      <w:r>
        <w:t>Oracle Cloud, AWS S3, pytest,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evaluation framework to measure AI output quality, utilizing automated quality-gate loops to validate content against predefined ATS-match benchmarks.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 and content-based deduplication to ensure consistent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with pytest to validate pipeline accuracy and ensure system reliability in a 24/7 cloud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Audited 188 months of NHS performance data to identify systemic biases and inconsistencies in 4-hour target compliance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outputs against historical benchmarks using advanced SQL window functions to classify performance trends and identify data anomalies.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(0.90–0.95 ROC-AUC), applying fairness metrics to evaluate performance across different time-based segments.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by implementing a rigorous evaluation framework to validate model performance against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and mitigated model bias and performance degradation caused by brightness variation using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documenting findings to meet academic performance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to surface KPIs, validating data integrity through standardized reporting frameworks.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documenting model selection and performance metrics to ensure alignment with project objectives.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