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Consultant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Consultant Data Scientist with a strong track record of translating complex datasets into actionable business recommendations for public sector infrastructure. Expert in Python, SQL, and machine learning, with a focus on delivering data-driven solutions that inform strategic decision-making for non-technical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Predictive modelling, Scikit-learn, TensorFlow, Keras, Cross-validation, Statistical analysis</w:t>
      </w:r>
    </w:p>
    <w:p>
      <w:pPr>
        <w:spacing w:before="0" w:after="20"/>
      </w:pPr>
      <w:r>
        <w:rPr>
          <w:b/>
        </w:rPr>
        <w:t xml:space="preserve">Consulting &amp; Communication: </w:t>
      </w:r>
      <w:r>
        <w:t>Stakeholder management, Business recommendations, Data storytelling, Requirement gathering, Project delivery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SQL, Git, Oracle Cloud, AWS, Agentic workflows</w:t>
      </w:r>
    </w:p>
    <w:p>
      <w:pPr>
        <w:spacing w:before="0" w:after="20"/>
      </w:pPr>
      <w:r>
        <w:rPr>
          <w:b/>
        </w:rPr>
        <w:t xml:space="preserve">Data Visualisation: </w:t>
      </w:r>
      <w:r>
        <w:t>Power BI, Tableau, Dashboard development, Pandas, NumPy, Chart.js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identify drivers of 4-hour target breaches, presenting findings to non-technical stakeholders to highlight critical service delivery gaps.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complex SQL-driven performance trends into a clear business recommendation that identified a 51-month 'Crisis' status, directly informing the need for urgent resource reallocation.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providing a transparent evidence base for public sector infrastructure planning.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high-accuracy wildfire detection pipeline using DenseNet CNNs on 2,700+ images, achieving 98.84% accuracy and a +16% improvement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addressing brightness variation and class imbalance through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regional KPIs and performance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to support data-driven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