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focused on building production-ready internal tools and intelligent applications that solve complex business problems for non-technical stakeholders. Proven ability to translate organizational data into actionable insights and deploy scalable AI solutions that improve operational productivity.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 Engineering: </w:t>
      </w:r>
      <w:r>
        <w:t>Retrieval-Augmented Generation (RAG), Agentic pipelines, Prompt engineering, LLM API integration, Multi-model failover</w:t>
      </w:r>
    </w:p>
    <w:p>
      <w:pPr>
        <w:spacing w:before="0" w:after="20"/>
      </w:pPr>
      <w:r>
        <w:rPr>
          <w:b/>
        </w:rPr>
        <w:t xml:space="preserve">Software &amp; Cloud Infrastructure: </w:t>
      </w:r>
      <w:r>
        <w:t>Python, AWS, Azure, Oracle Cloud, CI/CD, REST APIs, pytest</w:t>
      </w:r>
    </w:p>
    <w:p>
      <w:pPr>
        <w:spacing w:before="0" w:after="20"/>
      </w:pPr>
      <w:r>
        <w:rPr>
          <w:b/>
        </w:rPr>
        <w:t xml:space="preserve">Data, Analytics &amp; Governance: </w:t>
      </w:r>
      <w:r>
        <w:t>SQL, AI Governance &amp; Privacy frameworks, Pandas, Scikit-learn,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to identify drivers of target breaches, presenting findings to non-technical stakeholders in Operations to drive process improvement.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95% target was met in only 29% of months analyzed.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in Scikit-learn to predict monthly breach risk, achieving 0.90–0.95 ROC-AUC to support data-driven decision-making for management.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 CNNs on 2,700+ high-resolution images, achieving 98.84% accuracy—a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Multi-Scale Retinex preprocessing to mitigate class imbalance, ensuring robust model performance for real-world deployment.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regional KPIs, simulating the reporting needs of Finance and Sales departments.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cross-validation and feature selection methodologies.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