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Data Science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Data Scientist with a strong background in time-series analysis and production-grade Python systems, eager to apply these skills to energy markets and grid dynamics. Proven track record of owning the full lifecycle of data projects, from complex SQL-driven exploration to deploying scalable, reliable models in cloud environments.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Engineering &amp; Cloud: </w:t>
      </w:r>
      <w:r>
        <w:t>Docker, GCP, Scalable systems, Production-quality code, pytest, API integration</w:t>
      </w:r>
    </w:p>
    <w:p>
      <w:pPr>
        <w:spacing w:before="0" w:after="20"/>
      </w:pPr>
      <w:r>
        <w:rPr>
          <w:b/>
        </w:rPr>
        <w:t xml:space="preserve">Data Science &amp; Machine Learning: </w:t>
      </w:r>
      <w:r>
        <w:t>Time-series analysis, Predictive modelling, Python, Scikit-learn, TensorFlow, Model evaluation</w:t>
      </w:r>
    </w:p>
    <w:p>
      <w:pPr>
        <w:spacing w:before="0" w:after="20"/>
      </w:pPr>
      <w:r>
        <w:rPr>
          <w:b/>
        </w:rPr>
        <w:t xml:space="preserve">GenAI &amp; Domain: </w:t>
      </w:r>
      <w:r>
        <w:t>Agentic pipelines, Google Gemini API, Prompt engineering, SQL, Power BI, Energy market research (grid balancing, time-series forecasting)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then uses Google Gemini LLMs to score, rank, and auto-tailor an ATS-optimised resume, cover letter, and outreach email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AI-tailored resume and iterates until it clears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Added production reliability: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Generated ATS-clean .docx files programmatically (python-docx); 121 automated unit tests (pytest).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VM, with a responsive Next.js + Tailwind CSS dashboard on Vercel.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Analysed 188 months of time-series data to identify drivers behind 4-hour waiting time target breaches, applying advanced SQL window functions (LAG, AVG OVER) and CTEs.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to predict monthly breach risk with 0.90–0.95 ROC-AUC, identifying rolling 3-month compliance and seasonality as primary predictive features.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dashboard surfacing KPIs and seasonality heatmaps to visualize the 141× increase in 12-hour wait times since 2019.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using DenseNet-based CNNs on 2,700+ high-resolution images, delivering a +16% improvement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for robustness, presenting findings to academic stakeholders to support data-driven decision-making.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