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Data Scientist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Data Scientist with an MSc in Computer Science and a strong focus on time-series forecasting and energy market analytics. Experienced in building robust, production-grade ML pipelines to derive actionable insights from complex, large-scale datasets.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Machine Learning &amp; Forecasting: </w:t>
      </w:r>
      <w:r>
        <w:t>Scikit-learn, Random Forest, Time-series analysis, Predictive modelling, Model evaluation, Cross-validation</w:t>
      </w:r>
    </w:p>
    <w:p>
      <w:pPr>
        <w:spacing w:before="0" w:after="20"/>
      </w:pPr>
      <w:r>
        <w:rPr>
          <w:b/>
        </w:rPr>
        <w:t xml:space="preserve">Data Engineering &amp; Analytics: </w:t>
      </w:r>
      <w:r>
        <w:t>Python, SQL, ETL pipelines, Data modelling, Pandas, NumPy</w:t>
      </w:r>
    </w:p>
    <w:p>
      <w:pPr>
        <w:spacing w:before="0" w:after="20"/>
      </w:pPr>
      <w:r>
        <w:rPr>
          <w:b/>
        </w:rPr>
        <w:t xml:space="preserve">Production Engineering: </w:t>
      </w:r>
      <w:r>
        <w:t>CI/CD, Docker, Cloud-native deployment, pytest, AWS S3, Oracle Cloud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 across LinkedIn and Indeed, then uses Google Gemini LLMs to score, rank, and auto-tailor an ATS-optimised resume, cover letter, and outreach email for the top 20 matches.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each AI-tailored resume and iterates until it clears an 85% ATS match threshold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Added production reliability: rate-limiting, exponential-backoff retries, multi-model failover, and content-based deduplication.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Generated ATS-clean .docx files programmatically (python-docx); 121 automated unit tests (pytest).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as a Telegram bot on an Oracle Cloud VM, with a responsive Next.js + Tailwind CSS dashboard on Vercel.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Analysed 188 months of NHS performance data to identify drivers of 4-hour target breaches, enabling stakeholders to pinpoint critical capacity gaps and reduce wait-time volatility.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Random Forest classifier achieving 0.90–0.95 ROC-AUC to forecast monthly breach risk, utilizing rolling 3-month compliance history and seasonality as predictive features.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advanced SQL pipelines using window functions (LAG, AVG OVER) and CTEs to process 188 months of performance data, identifying key drivers of 4-hour target breaches.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Increased detection accuracy to 98.84% (+16% over baseline) by training DenseNet CNNs on 2,700+ high-resolution images.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to optimize model robustness against brightness variation and class imbalance.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Constructed interactive Power BI dashboards using DAX and complex data modelling to surface regional KPIs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with Scikit-learn, focusing on feature engineering and model selection to improve predictive performance.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