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specializing in Generative AI, LLMs, RAG pipelines, and agentic workflows. Built and deployed a production-grade LLM system featuring agentic quality-gate loops, multi-model failover, and 121 automated tests, achieving 98.84% accuracy in high-stakes ML deployments.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LLMs: </w:t>
      </w:r>
      <w:r>
        <w:t>RAG (Retrieval-Augmented Generation), LangChain / LangGraph, Vector Databases (FAISS, ChromaDB), LLM API Integration (OpenAI, Gemini), Agentic Workflows, Prompt Engineering, Model Evaluation</w:t>
      </w:r>
    </w:p>
    <w:p>
      <w:pPr>
        <w:spacing w:before="0" w:after="20"/>
      </w:pPr>
      <w:r>
        <w:rPr>
          <w:b/>
        </w:rPr>
        <w:t xml:space="preserve">Machine Learning &amp; Data: </w:t>
      </w:r>
      <w:r>
        <w:t>Python, TensorFlow, Scikit-learn, CNNs (DenseNet), SQL, Pandas, Feature Engineering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Azure, pytest,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enterprise-grade agentic RAG pipeline using LangChain and FAISS vector databases to ensure scalable, high-throughput data indexing and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robust Python-based orchestration layer utilizing LangGraph for multi-step agentic reasoning, ensuring consistent performance across complex, multi-stage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content-based deduplication to maintain system stability under high load.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(pytest) and deployed a 24/7 resilient service on Oracle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data, revealing the 95% target was met in only 55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identify a 51-month 'Crisis' streak, with January 2026 wait times 141x higher than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utilizing feature engineering to isolate seasonality as a primary driver.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wildfire detection by building an end-to-end ML pipeline, achieving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using GridSearchCV, cross-validation, and Multi-Scale Retinex preprocessing on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