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ML Platform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ML Platform Engineer specializing in production-grade agentic pipelines, Kubernetes-based distributed workloads, and scalable model serving. Successfully deployed 24/7 LLM systems on cloud infrastructure, achieving 98.84% model accuracy while optimizing resource efficiency through automated testing and IaC.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ML Platform &amp; Infrastructure: </w:t>
      </w:r>
      <w:r>
        <w:t>Kubernetes (K8s), Terraform, Workflow Orchestration (Temporal/Airflow), Model Serving, Distributed Workloads, GPU Resource Allocation, ML Platform</w:t>
      </w:r>
    </w:p>
    <w:p>
      <w:pPr>
        <w:spacing w:before="0" w:after="20"/>
      </w:pPr>
      <w:r>
        <w:rPr>
          <w:b/>
        </w:rPr>
        <w:t xml:space="preserve">Engineering &amp; Automation: </w:t>
      </w:r>
      <w:r>
        <w:t>Python, Infrastructure-as-Code (IaC), pytest, Automation, Reliability, Scalability, Cloud Infrastructure</w:t>
      </w:r>
    </w:p>
    <w:p>
      <w:pPr>
        <w:spacing w:before="0" w:after="20"/>
      </w:pPr>
      <w:r>
        <w:rPr>
          <w:b/>
        </w:rPr>
        <w:t xml:space="preserve">GenAI &amp; Data: </w:t>
      </w:r>
      <w:r>
        <w:t>Agentic Pipelines, LLM API Integration, TensorFlow, Keras, Scikit-learn, SQL, Pandas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production-grade agentic LLM pipeline with multi-model failover, utilizing Kubernetes (K8s) to manage distributed workloads and ensure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Infrastructure-as-Code (IaC) via Terraform to automate cloud resource provisioning, improving deployment consistency and scalability.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workflow orchestration patterns (similar to Temporal/Airflow) to manage complex agentic quality-gate loops, ensuring 85%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validate pipeline reliability, achieving 100% pass rate across deployment cycles.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on Oracle Cloud VMs with GPU-aware resource allocation strategies to optimize performance for high-throughput LLM inference.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data, identifying that the 95% target was met in only 55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breach risk, identifying seasonality as a primary driver for resource allocation planning.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a 141x increase in 12+ hour wait times compared to 2019 levels, providing actionable insights for system-wide operational improvements.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training efficiency by applying GridSearchCV and cross-validation to manage compute-intensive GPU workloads.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surfacing KPIs for academic stakeholders, improving data-driven decision-making speed by 30%.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to improve predictive model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