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July 2026</w:t>
      </w:r>
    </w:p>
    <w:p>
      <w:pPr>
        <w:spacing w:before="0" w:after="160" w:line="276" w:lineRule="auto"/>
      </w:pPr>
      <w:r>
        <w:rPr>
          <w:sz w:val="21"/>
        </w:rPr>
        <w:t>The opportunity to join Brown &amp; Brown as an AI Engineer is compelling, particularly given your focus on delivering compliant, scalable AI solutions within the insurance sector. My background in building production-grade agentic LLM pipelines aligns directly with your need for engineers who can move AI from prototype to production.</w:t>
      </w:r>
    </w:p>
    <w:p>
      <w:pPr>
        <w:spacing w:before="0" w:after="160" w:line="276" w:lineRule="auto"/>
      </w:pPr>
      <w:r>
        <w:rPr>
          <w:sz w:val="21"/>
        </w:rPr>
        <w:t>In my recent work, I engineered an end-to-end Python pipeline that manages multi-model failover and automated quality-gate loops. By implementing 121 automated unit tests, I ensured the system maintained high reliability in a 24/7 production environment. My experience with Scikit-learn and TensorFlow, combined with my work on predictive analytics for the NHS, has provided me with a strong foundation in handling complex, structured data—a skill set I am eager to apply to insurance workflows like underwriting and claims processing.</w:t>
      </w:r>
    </w:p>
    <w:p>
      <w:pPr>
        <w:spacing w:before="0" w:after="160" w:line="276" w:lineRule="auto"/>
      </w:pPr>
      <w:r>
        <w:rPr>
          <w:sz w:val="21"/>
        </w:rPr>
        <w:t>I have also focused on building a technical foundation in RAG architectures and cloud-native deployment. Through my work with GCP and containerisation, I understand the importance of building resilient, secure architectures that meet the rigorous standards of regulated industries. My recent simulations with financial datasets have furthered my understanding of how to extract actionable insights from complex reports, ensuring that AI outputs remain both accurate and audit-ready.</w:t>
      </w:r>
    </w:p>
    <w:p>
      <w:pPr>
        <w:spacing w:before="0" w:after="160" w:line="276" w:lineRule="auto"/>
      </w:pPr>
      <w:r>
        <w:rPr>
          <w:sz w:val="21"/>
        </w:rPr>
        <w:t>I am drawn to Brown &amp; Brown’s meritocratic culture and your commitment to continuous learning. I am confident that my hands-on experience with LLM integration and my pragmatic approach to problem-solving will allow me to contribute immediately to your AI standards and reusable components. Thank you for considering my application; I am available at your convenience to discuss how my technical expertise can support your team’s goals.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