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with expertise in Generative AI, Large Language Models, Agentic AI, and cloud-native production environments. Successfully deployed a 24/7 agentic LLM platform achieving 98.84% accuracy in wildfire detection and 0.95 ROC-AUC in predictive analytics.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Engineering: </w:t>
      </w:r>
      <w:r>
        <w:t>Generative AI, Large Language Models, Agentic AI, Python, CI/CD (GitHub Actions), Containerisation (Docker/Kubernetes), MLOps, LLMOps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Cloud native, Oracle Cloud, AWS, Azure, pytest, Monitoring, Observability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TensorFlow, Scikit-learn, Pandas,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production-ready agentic LLM pipeline on Oracle Cloud, utilizing Docker for containerisation and GitHub Actions for CI/CD to ensure reliable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iteratively re-scores AI-generated content to maintain an 85% ATS match threshold, incorporating bias mitigation audits for responsible AI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processing of ~50 job postings per run across LinkedIn and Indeed using Python, integrating Google Gemini LLMs for intelligent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LLMOps practices including rate-limiting, exponential-backoff retries, and 121 automated pytest unit tests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security compliance by isolating sensitive API credentials within cloud-native environment variables and monitoring system health via observability logs.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in Scikit-learn to predict monthly breach risk with 0.90–0.95 ROC-AUC, identifying seasonality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NHS met its 95% target in only 29% of the 188 months studied.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a +16% improvement over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ensuring model performance consistency across varying brightness and class distributions.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 for decision-making using DAX and advanced data modelling.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