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QE 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QE AI Engineer with expertise in agentic workflows, prompt engineering, and LLM-driven test automation. Delivered a production-grade quality-gate pipeline achieving 98.84% accuracy in validation tasks and maintaining 121 automated tests with an 85% success rate.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Quality Engineering &amp; AI: </w:t>
      </w:r>
      <w:r>
        <w:t>agentic workflows, test case generation, defect analysis, quality metrics, pytest, API testing, SDLC, LangChain, LangGraph, Pact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CI/CD, Oracle Cloud, AWS S3, Gunicorn, Microsoft Entra ID</w:t>
      </w:r>
    </w:p>
    <w:p>
      <w:pPr>
        <w:spacing w:before="0" w:after="20"/>
      </w:pPr>
      <w:r>
        <w:rPr>
          <w:b/>
        </w:rPr>
        <w:t xml:space="preserve">Data &amp; Machine Learning: </w:t>
      </w:r>
      <w:r>
        <w:t>SQL, TensorFlow, Scikit-learn, Pandas,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performance data using advanced SQL window functions (LAG, AVG OVER) and CTEs to perform defect analysis on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achieving 0.90–0.95 ROC-AUC to predict breach risk, providing actionable quality metrics and reporting for performance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images, achieving 98.84% accuracy—a +16% improvement over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addressing class imbalance and brightness variation through data augmentation.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support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