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focused on building safe, reliable AI systems for healthcare and safety-sensitive environments. Experienced in developing robust LLM pipelines, rigorous model evaluation frameworks, and data-driven analytics to support clinical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LLM Engineering: </w:t>
      </w:r>
      <w:r>
        <w:t>LLM API integration, Prompt engineering, Structured outputs, Tool calling, Model evaluation, RAG</w:t>
      </w:r>
    </w:p>
    <w:p>
      <w:pPr>
        <w:spacing w:before="0" w:after="20"/>
      </w:pPr>
      <w:r>
        <w:rPr>
          <w:b/>
        </w:rPr>
        <w:t xml:space="preserve">Software &amp; Systems: </w:t>
      </w:r>
      <w:r>
        <w:t>TypeScript, Node.js, Python, WebSockets, API development, pytest</w:t>
      </w:r>
    </w:p>
    <w:p>
      <w:pPr>
        <w:spacing w:before="0" w:after="20"/>
      </w:pPr>
      <w:r>
        <w:rPr>
          <w:b/>
        </w:rPr>
        <w:t xml:space="preserve">Cloud &amp; Data: </w:t>
      </w:r>
      <w:r>
        <w:t>Oracle Cloud, Vercel, AWS, SQL, Power BI, Scikit-learn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with 0.90–0.95 ROC-AUC, providing actionable insights for healthcare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12-hour waiter spikes and seasonality heatmaps to support clinical operational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CNNs, achieving 98.84% accuracy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prioritizing safety-critical reliability for environmental monitoring applications.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to assist in clinical and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rigorous feature engineering and model selection best practices.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