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dedicated to building production-ready solutions through rigorous software engineering practices and cross-functional collaboration. Expert in deploying scalable, cloud-native ML pipelines and translating complex data insights into actionable strategies for stakeholders in regulated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CI/CD, Kubernetes, Docker, Azure DevOps, Cloud-native deployment, JIRA, Oracle Cloud, AWS, Vercel</w:t>
      </w:r>
    </w:p>
    <w:p>
      <w:pPr>
        <w:spacing w:before="0" w:after="20"/>
      </w:pPr>
      <w:r>
        <w:rPr>
          <w:b/>
        </w:rPr>
        <w:t xml:space="preserve">Machine Learning &amp; GenAI: </w:t>
      </w:r>
      <w:r>
        <w:t>Generative AI, Agentic pipelines, LLM API integration, Scikit-learn, TensorFlow, CNNs, Databricks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Data modelling, Power BI, Pandas, NumPy, Model evaluation,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threshold, ensuring production-ready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robust Python pipeline for end-to-end ML lifecycle management, incorporating 121 automated unit tests via pytest and CI/CD practices to ensure code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Oracle Cloud using Docker containerisation for scalable, cloud-native deployment, with foundational experience in Kubernetes orchestration.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generation of ATS-optimised documentation using python-docx, scraping ~50 job postings per run across LinkedIn and Indeed.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 to provide stakeholders with clear evidence on 4-hour target breaches, directly informing strategic discussions on operational capacity.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breach risk, enabling management to proactively identify high-risk periods for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complex SQL queries using window functions and CTEs to translate raw performance metrics into intuitive Power BI dashboards for non-technical decision-makers.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wildfire detection model achieving 98.84% accuracy on 2,700+ images,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findings to academic stakeholders using Matplotlib and Seaborn.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