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Machine Learning Engineer specializing in forensic data investigation, pipeline throughput optimization, and structured document processing. Proven track record of conducting large-scale SQL-driven root-cause analysis and refactoring C# logic to improve system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Investigation &amp; Measurement: </w:t>
      </w:r>
      <w:r>
        <w:t>Forensic data investigation, SQL (Window Functions, CTEs), Error taxonomy design, Pipeline throughput analysis, Statistical pattern analysis</w:t>
      </w:r>
    </w:p>
    <w:p>
      <w:pPr>
        <w:spacing w:before="0" w:after="20"/>
      </w:pPr>
      <w:r>
        <w:rPr>
          <w:b/>
        </w:rPr>
        <w:t xml:space="preserve">ML Engineering: </w:t>
      </w:r>
      <w:r>
        <w:t>Python (Pandas, NumPy, Scikit-learn), Embeddings (Sentence-Transformers), LLM integration, OCR output correction, Model evaluation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C# (Codebase refactoring), Oracle Cloud, AWS, pytest, Containerisation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(Aug 2010 – Mar 2026) to identify the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OVER), CTEs, and CASE logic to classify every month as On Target / Warning / Crisis,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 unbroken Crisis-status streak of 51 consecutive months since October 2021, with January 2026 recording 71,517 patients waiting 12+ hours — 141× the March 2019 level.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