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with expertise in Python, Generative AI, LLM pipeline deployment, and cloud-native architectures. Delivered a production-grade agentic LLM system achieving 100% uptime with 121 automated tests and a 98.84% accuracy wildfire detection model.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Generative AI &amp; LLMs: </w:t>
      </w:r>
      <w:r>
        <w:t>RAG (Retrieval-Augmented Generation), LLM API integration, Prompt engineering, Agentic pipelines, Google Gemini API, Multi-model failover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Google Cloud Platform (GCP), Vertex AI, BigQuery, Docker, CI/CD, Python, SQL, pytest</w:t>
      </w:r>
    </w:p>
    <w:p>
      <w:pPr>
        <w:spacing w:before="0" w:after="20"/>
      </w:pPr>
      <w:r>
        <w:rPr>
          <w:b/>
        </w:rPr>
        <w:t xml:space="preserve">Data &amp; Machine Learning: </w:t>
      </w:r>
      <w:r>
        <w:t>Vector databases, Embeddings, Scikit-learn, TensorFlow, Pandas, NumPy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production-grade LLM pipeline on cloud infrastructure, incorporating multi-model failover,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reliability and maintainability of the Python-based backend.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that scrapes ~50 job postings per run, leveraging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containerisation using Docker to ensure consistent deployment environments, mirroring production-grade CI/CD workflows.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predicting monthly breach risk (0.90–0.95 ROC-AUC), identifying rolling 3-month compliance as a key predictive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addressing class imbalance and brightness variation through data augmentation.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