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the deployment of agentic workflows and LLM-integrated systems within production environments. Proven track record of building scalable, reliable AI architectures that solve complex operational challenges for enterprise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Agentic Systems: </w:t>
      </w:r>
      <w:r>
        <w:t>agentic workflows, RAG pipelines, MCPs (Model Context Protocols), LLM API integration, multi-model failover, prompt engineering, Google Gemini API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Azure, Oracle Cloud, pytest, Next.js, Node.js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Scikit-learn, Pandas, NumPy,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data, identifying a 141x spike in 12+ hour wait times since 2019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100% of monthly performance data,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providing a scalable framework for enterprise-level performance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implementing a DenseNet-based CNN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using GridSearchCV and cross-validation to handle brightness variation in real-world deployment scenarios.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