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- Python - Up To £75,000 P/A + Comps - London (Hybrid)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with technical capability in Python, SQL, and applied GenAI for data-intensive environments. Focused on building secure, scalable AI solutions and automated pipelines through rigorous testing and commercial-grade engineering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Engineering &amp; AI: </w:t>
      </w:r>
      <w:r>
        <w:t>Python, SQL, Snowflake, Generative AI, LLM API integration, agentic pipelines, automation frameworks</w:t>
      </w:r>
    </w:p>
    <w:p>
      <w:pPr>
        <w:spacing w:before="0" w:after="20"/>
      </w:pPr>
      <w:r>
        <w:rPr>
          <w:b/>
        </w:rPr>
        <w:t xml:space="preserve">BI &amp; Analytics: </w:t>
      </w:r>
      <w:r>
        <w:t>Power BI, DAX, Power Query, Tableau, Pandas, NumPy</w:t>
      </w:r>
    </w:p>
    <w:p>
      <w:pPr>
        <w:spacing w:before="0" w:after="20"/>
      </w:pPr>
      <w:r>
        <w:rPr>
          <w:b/>
        </w:rPr>
        <w:t xml:space="preserve">Cloud &amp; Engineering: </w:t>
      </w:r>
      <w:r>
        <w:t>Oracle Cloud, AWS, Azure, pytest, Next.js, API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end-to-end agentic LLM pipeline with CI/CD principles, incorporating multi-model failover and exponential-backoff retries for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 rigorous quality-gate loop and 121 automated pytest unit tests to ensure secure, well-governed code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Oracle Cloud infrastructure, utilizing content-based deduplication and rate-limiting to maintain system stability.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data, applying advanced SQL window functions and CTEs to classify operational status within a highly regulated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(0.90–0.95 ROC-AUC), delivering actionable insights for workflow optimisation.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interactive BI dashboard for performance monitoring, ensuring data integrity and clear reporting for stakeholder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classification, achieving 98.84% accuracy through robust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reliability and performance consistency for deployment-ready software.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Constructed interactive Power BI dashboards using DAX and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support scalable data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