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AI Solutions Engineer</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MSc Computer Science graduate specializing in AI Solutions Engineering for enterprise clients through the design and deployment of scalable, agentic LLM pipelines. Proven track record in translating complex data into actionable business value, including healthcare performance analytics and high-accuracy deep learning systems.</w:t>
      </w:r>
    </w:p>
    <w:p>
      <w:pPr>
        <w:keepNext/>
        <w:spacing w:before="200" w:after="40"/>
        <w:pBdr>
          <w:bottom w:val="single" w:sz="6" w:space="1" w:color="808080"/>
        </w:pBdr>
      </w:pPr>
      <w:r>
        <w:rPr>
          <w:b/>
          <w:sz w:val="22"/>
        </w:rPr>
        <w:t>CORE SKILLS</w:t>
      </w:r>
    </w:p>
    <w:p>
      <w:pPr>
        <w:spacing w:before="0" w:after="20"/>
      </w:pPr>
      <w:r>
        <w:rPr>
          <w:b/>
        </w:rPr>
        <w:t xml:space="preserve">AI &amp; Machine Learning: </w:t>
      </w:r>
      <w:r>
        <w:t>LLM API integration, Agentic pipelines, TensorFlow, Scikit-learn, Prompt engineering, CNNs</w:t>
      </w:r>
    </w:p>
    <w:p>
      <w:pPr>
        <w:spacing w:before="0" w:after="20"/>
      </w:pPr>
      <w:r>
        <w:rPr>
          <w:b/>
        </w:rPr>
        <w:t xml:space="preserve">Engineering &amp; Cloud: </w:t>
      </w:r>
      <w:r>
        <w:t>Python, AWS, Azure, Oracle Cloud, pytest, REST API development</w:t>
      </w:r>
    </w:p>
    <w:p>
      <w:pPr>
        <w:spacing w:before="0" w:after="20"/>
      </w:pPr>
      <w:r>
        <w:rPr>
          <w:b/>
        </w:rPr>
        <w:t xml:space="preserve">Data &amp; Analytics: </w:t>
      </w:r>
      <w:r>
        <w:t>SQL, Power BI, Pandas, NumPy, Data modelling, Tableau</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Analyzed 188 months of NHS England A&amp;E data using advanced SQL window functions and CTEs to identify critical drivers of performance decline.</w:t>
      </w:r>
    </w:p>
    <w:p>
      <w:pPr>
        <w:pStyle w:val="ListBullet"/>
        <w:spacing w:before="0" w:after="40"/>
        <w:ind w:left="360"/>
      </w:pPr>
      <w:r/>
      <w:r>
        <w:rPr>
          <w:sz w:val="21"/>
        </w:rPr>
        <w:t>Developed a Random Forest classifier achieving 0.90–0.95 ROC-AUC to predict monthly breach risk, enabling proactive resource allocation for healthcare stakeholders.</w:t>
      </w:r>
    </w:p>
    <w:p>
      <w:pPr>
        <w:pStyle w:val="ListBullet"/>
        <w:spacing w:before="0" w:after="40"/>
        <w:ind w:left="360"/>
      </w:pPr>
      <w:r/>
      <w:r>
        <w:rPr>
          <w:sz w:val="21"/>
        </w:rPr>
        <w:t>Visualized performance metrics via an interactive Chart.js dashboard, highlighting a 141× increase in 12+ hour wait times since 2019 to support strategic policy review.</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achieving 98.84% accuracy on 2,700+ images, delivering a +16% improvement over baseline architectures.</w:t>
      </w:r>
    </w:p>
    <w:p>
      <w:pPr>
        <w:pStyle w:val="ListBullet"/>
        <w:spacing w:before="0" w:after="40"/>
        <w:ind w:left="360"/>
      </w:pPr>
      <w:r/>
      <w:r>
        <w:rPr>
          <w:sz w:val="21"/>
        </w:rPr>
        <w:t>Applied GridSearchCV and cross-validation to optimize model robustness against brightness variation and class imbalance.</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using DAX and data modelling to surface actionable KPIs for decision-making.</w:t>
      </w:r>
    </w:p>
    <w:p>
      <w:pPr>
        <w:pStyle w:val="ListBullet"/>
        <w:spacing w:before="0" w:after="40"/>
        <w:ind w:left="360"/>
      </w:pPr>
      <w:r/>
      <w:r>
        <w:rPr>
          <w:sz w:val="21"/>
        </w:rPr>
        <w:t>Executed reproducible ML experiments with Scikit-learn, implementing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