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/ Statistician (Model Developer)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/ Statistician (Model Developer) with expertise in machine learning, feature engineering, time-series analysis, and model validation. Delivered a 0.95 ROC-AUC predictive model for risk classification and deployed production-grade agentic pipelines with 121 automated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Statistics: </w:t>
      </w:r>
      <w:r>
        <w:t>Feature engineering, Time series, Model validation, Model risk management, Probability, Statistics, Random Forest, Deep learning, CNNs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Open Banking (foundational), Credit Bureau data (foundational), SQL, Python, Pandas, NumPy, Data modelling</w:t>
      </w:r>
    </w:p>
    <w:p>
      <w:pPr>
        <w:spacing w:before="0" w:after="20"/>
      </w:pPr>
      <w:r>
        <w:rPr>
          <w:b/>
        </w:rPr>
        <w:t xml:space="preserve">Engineering &amp; Deployment: </w:t>
      </w:r>
      <w:r>
        <w:t>pytest, Model monitoring, Cloud infrastructure, API integration, CI/CD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achieving 0.90–0.95 ROC-AUC by applying feature engineering to 188 months of time-series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29% of the 188-month period.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 51-month Crisis-status streak, quantifying a 141× increase in 12+ hour wait times compared to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statistical test frameworks to identify rolling 3-month compliance history as the strongest predictive feature for underwriting risk-style breach classification.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agentic pipeline featuring multi-model failover and 121 automated unit tests (pytest) to ensure model monitoring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automated quality-gate loop that iteratively re-scores outputs against an 85% ATS match threshold, applying Model Risk Management principles to ensure output consistency.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Cloud, managing complex data orchestration and API integration for high-frequency job market analysis.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deep learning model performance to 98.84% accuracy, a +16% improvement over baseline architectures, using DenseNet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adhering to strict validation and monitoring standards for sequential and spatial data.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