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expertise in Python, SQL, and automated testing for high-integrity engineering environments. Leverages a B.Tech in Electronics &amp; Instrumentation to bridge the gap between hardware-interfacing sensor data and mission-critical aerospace analytics.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Data Science: </w:t>
      </w:r>
      <w:r>
        <w:t>Python, SQL, MATLAB, Data Validation, Anomaly Detection, Statistical Analysis, Data Modelling, Sensor Data Processing</w:t>
      </w:r>
    </w:p>
    <w:p>
      <w:pPr>
        <w:spacing w:before="0" w:after="20"/>
      </w:pPr>
      <w:r>
        <w:rPr>
          <w:b/>
        </w:rPr>
        <w:t xml:space="preserve">Quality &amp; Testing: </w:t>
      </w:r>
      <w:r>
        <w:t>Automated Testing, pytest, Quality Assurance, Defect Management, Automated Validation</w:t>
      </w:r>
    </w:p>
    <w:p>
      <w:pPr>
        <w:spacing w:before="0" w:after="20"/>
      </w:pPr>
      <w:r>
        <w:rPr>
          <w:b/>
        </w:rPr>
        <w:t xml:space="preserve">Cloud &amp; BI: </w:t>
      </w:r>
      <w:r>
        <w:t>Azure, Databricks, Power BI, Data Pipelines, Oracle Cloud,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high-integrity time-series data to identify system reliability drivers, mirroring EHM requirements for engine performance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ensure data integrity and perform rigorous quality assurance on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anomaly detection in breach risk, achieving 0.90–0.95 ROC-AUC to support predictive decision-making and fleet-level data integrity.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for image-based anomaly detection,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methodologies to ensure model robustness and compliance with rigorous performance benchmarks.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Technical Environment: Processed high-resolution sensor-derived imagery requiring automated validation of feature extraction pipelines.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actionable insights for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automated validation and feature engineering best practices to improve predictive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Technical Environment: Handled multi-source datasets requiring strict data integrity checks and automated reporting frameworks.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