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an MSc in Computer Science and expertise in building predictive ML models and production-grade data infrastructure. Proven track record in deploying agentic LLM pipelines and applying causal inference and A/B testing to drive operational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Statistics: </w:t>
      </w:r>
      <w:r>
        <w:t>Scikit-learn, TensorFlow, Predictive modeling, A/B testing, Causal inference, Cross-validation, Random Forest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Python, Power BI, Tableau, Pandas, NumPy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AWS, Azure, Oracle Cloud, MLOps, pytest, Web scraping,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content, reducing manual application time by 90% while maintaining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production-grade Python pipeline that scrapes ~50 job postings per run, integrating Google Gemini LLMs for automated customer segmentation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24/7 production reliability through multi-model failover, exponential-backoff retries, and 121 automated unit tests using pytest, moving beyond local scripts to cloud-based MLOps.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causal inference logic to analyze which job features correlate with higher interview conversion rates, refining the automated ranking algorithm.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A/B testing frameworks and causal inference models to evaluate the impact of policy changes on A&amp;E waiting times, directly informing resource allocation strategies for hospital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to predict monthly breach risk (0.90–0.95 ROC-AUC), enabling stakeholders to proactively identify high-risk periods and optimize staffing levels.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large-scale NHS England A&amp;E performance data to identify behavioral trends and drivers behind 4-hour target breaches.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accuracy improvement over baseline architectures by building a DenseNet-based CNN pipeline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statistical validity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focusing on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