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Analyst with an MSc in Computer Science (Distinction) and hands-on experience translating complex datasets into actionable business insights. Proficient in Python, SQL, Excel, and Power BI, with a proven track record of building interactive dashboards and executing rigorous data analysis. Demonstrated ability to collaborate with stakeholders to solve real-world problems, utilizing Generative AI to optimize analytics workflows and SQL queries. Eager to apply strong analytical foundations and a deep interest in marine, cargo, logistics, and insurance analytics to support the Specialty team at Howden.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Excel, Data Visualisation, Data Modelling,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Databricks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GenAI, Data Analysis, Data Pipelines, Exploratory Data Analysis (EDA), GridSearchCV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Data Visualisation  ·  Data Modelling  ·  Stakeholder Engagement  ·  Problem Solving  ·  Analytical Thinking  ·  GenAI for Analytics  ·  Data Pipelines  ·  Logical Thinking  ·  Attention to Detail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building an end-to-end ML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data augmentation,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 providing user-friendly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 and forensic technology, translating complex datasets into clear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key trends and support data-driven business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clean, classify, and validate data from multiple sources to draw reliable business conclusions and present findings.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team, exploring modern GenAI / LLMs.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programming and libraries such as pandas for data manipulation, cleaning, and structuring raw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deliver user-friendly financial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software development simulation at Datacom, collaborating on technical workflows and planning future application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the root cause of bugs, implementing targeted fixes to improve application reliability and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data pipeline and ML model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 model selection, visualising performance with Matplotlib/Seaborn to explain ideas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exploratory data analysis (EDA), refine SQL queries, debug code snippets, and document analysis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modelling to surface KPIs, spot patterns, and highlight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clean and validate data.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