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23 June 2026</w:t>
      </w:r>
    </w:p>
    <w:p>
      <w:pPr>
        <w:spacing w:before="0" w:after="160" w:line="276" w:lineRule="auto"/>
      </w:pPr>
      <w:r>
        <w:rPr>
          <w:sz w:val="21"/>
        </w:rPr>
        <w:t>Dear Crossing Hurdles team,</w:t>
      </w:r>
    </w:p>
    <w:p>
      <w:pPr>
        <w:spacing w:before="0" w:after="160" w:line="276" w:lineRule="auto"/>
      </w:pPr>
      <w:r>
        <w:rPr>
          <w:sz w:val="21"/>
        </w:rPr>
        <w:t>Your mission to solve complex business problems through scalable machine learning solutions resonates with my own approach to engineering. Having recently completed an MSc in Computer Science with a focus on applied GenAI, I have spent the last two years building and deploying production-ready systems that bridge the gap between raw data and actionable insights. I am particularly drawn to your focus on TensorFlow and Scikit-learn, as these are the core tools I have used to deliver high-impact projects, such as my wildfire detection system that achieved 98.84% accuracy.</w:t>
      </w:r>
    </w:p>
    <w:p>
      <w:pPr>
        <w:spacing w:before="0" w:after="160" w:line="276" w:lineRule="auto"/>
      </w:pPr>
      <w:r>
        <w:rPr>
          <w:sz w:val="21"/>
        </w:rPr>
        <w:t>In my recent work, I developed an agentic LLM pipeline that functions as a production-grade system, complete with 121 automated tests and multi-model failover. This project required not only model development but also rigorous data preprocessing and performance tuning to ensure reliability in a 24/7 environment. Similarly, my analysis of NHS A&amp;E performance involved complex feature engineering and the deployment of a Random Forest classifier that achieved a 0.90–0.95 ROC-AUC. These experiences have prepared me to collaborate effectively with data scientists and business analysts to translate requirements into robust, scalable solutions.</w:t>
      </w:r>
    </w:p>
    <w:p>
      <w:pPr>
        <w:spacing w:before="0" w:after="160" w:line="276" w:lineRule="auto"/>
      </w:pPr>
      <w:r>
        <w:rPr>
          <w:sz w:val="21"/>
        </w:rPr>
        <w:t>I am eager to bring my expertise in model evaluation and end-to-end deployment to your remote team. I am comfortable working independently in fast-paced environments and am committed to documenting my processes to ensure transparency and efficiency. I would appreciate the chance to learn more about the specific challenges your team is currently tackling and how my background in machine learning can support your goals.</w:t>
      </w:r>
    </w:p>
    <w:p>
      <w:pPr>
        <w:spacing w:before="0" w:after="160" w:line="276" w:lineRule="auto"/>
      </w:pPr>
      <w:r>
        <w:rPr>
          <w:sz w:val="21"/>
        </w:rPr>
        <w:t>Are you available for a brief conversation next week to discuss the role and your current technical roadmap?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