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Barclays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within the Digital, Data &amp; Analytics division. Having followed Barclays' commitment to leveraging cutting-edge AI to drive innovation in the Corporate Bank, I am particularly drawn to your focus on applying a 'fail-fast' mindset to extract material business value from extensive datasets. My experience in building production-ready agentic LLM pipelines and predictive models aligns with your mission to translate technical work into clear business outcomes.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utilised Google Gemini LLMs to automate complex workflows, incorporating 121 automated unit tests to ensure reliability. This project required a high degree of technical rigour, similar to the standards expected at Barclays. Furthermore, my analysis of 188 months of NHS A&amp;E performance data involved building a Random Forest classifier that achieved a 0.90–0.95 ROC-AUC. By using advanced SQL and Power BI to visualise these trends, I was able to identify the specific drivers behind service-level breaches, providing stakeholders with the clarity needed to inform strategic decision-making.</w:t>
      </w:r>
    </w:p>
    <w:p>
      <w:pPr>
        <w:spacing w:before="0" w:after="160" w:line="276" w:lineRule="auto"/>
      </w:pPr>
      <w:r>
        <w:rPr>
          <w:sz w:val="21"/>
        </w:rPr>
        <w:t>I am confident that my hands-on experience with AWS, Scikit-learn, and agentic AI frameworks will allow me to contribute immediately to your team’s objectives. I am a proactive learner who thrives in environments that require both technical depth and the ability to communicate complex findings to non-technical stakeholders. I am eager to bring my background in statistical modelling and data wrangling to help Barclays strengthen its risk controls and operational efficiency.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skills in building scalable data solutions can support the Digital, Data &amp; Analytics team. Thank you for considering my application, and I look forward to the possibility of a conversation.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