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23 June 2026</w:t>
      </w:r>
    </w:p>
    <w:p>
      <w:pPr>
        <w:spacing w:before="0" w:after="160" w:line="276" w:lineRule="auto"/>
      </w:pPr>
      <w:r>
        <w:rPr>
          <w:sz w:val="21"/>
        </w:rPr>
        <w:t>Dear SCOR team,</w:t>
      </w:r>
    </w:p>
    <w:p>
      <w:pPr>
        <w:spacing w:before="0" w:after="160" w:line="276" w:lineRule="auto"/>
      </w:pPr>
      <w:r>
        <w:rPr>
          <w:sz w:val="21"/>
        </w:rPr>
        <w:t>Applying the 'Art &amp; Science of Risk' is a philosophy that resonates deeply with my academic and project-based work. As an MSc Computer Science graduate, I have spent the last two years building data-driven solutions that mirror the analytical rigor required for exposure management and catastrophe modelling. I am particularly drawn to SCOR’s global scale and the opportunity to contribute to the resilience of societies through sophisticated portfolio analytics and accumulation monitoring.</w:t>
      </w:r>
    </w:p>
    <w:p>
      <w:pPr>
        <w:spacing w:before="0" w:after="160" w:line="276" w:lineRule="auto"/>
      </w:pPr>
      <w:r>
        <w:rPr>
          <w:sz w:val="21"/>
        </w:rPr>
        <w:t>In my recent work analyzing 188 months of NHS England A&amp;E performance data, I utilized advanced SQL window functions and predictive modelling to identify the drivers behind long-term service collapses. By building a Random Forest classifier that achieved a 0.90–0.95 ROC-AUC, I provided the kind of actionable, data-backed insights that are essential for underwriting decision support and monitoring risk against capacity limits. My ability to industrialize these processes—such as the agentic LLM pipeline I deployed on Oracle Cloud—ensures that I can contribute immediately to the streamlining of your exposure management data analytics.</w:t>
      </w:r>
    </w:p>
    <w:p>
      <w:pPr>
        <w:spacing w:before="0" w:after="160" w:line="276" w:lineRule="auto"/>
      </w:pPr>
      <w:r>
        <w:rPr>
          <w:sz w:val="21"/>
        </w:rPr>
        <w:t>I am impressed by SCOR’s commitment to a collaborative, international culture defined by 'The SCOR Way.' I thrive in environments where diverse technical minds—actuaries, data scientists, and risk modelers—work together to solve complex challenges. My background in Python, SQL, and Power BI, combined with my experience in high-stakes data reporting, has prepared me to assist with your internal reporting and external submissions to regulatory bodies.</w:t>
      </w:r>
    </w:p>
    <w:p>
      <w:pPr>
        <w:spacing w:before="0" w:after="160" w:line="276" w:lineRule="auto"/>
      </w:pPr>
      <w:r>
        <w:rPr>
          <w:sz w:val="21"/>
        </w:rPr>
        <w:t>I would appreciate the chance to discuss how my analytical capabilities and technical toolkit can support your team’s goals in catastrophe and portfolio management. Are you available for a brief conversation next week to explore how I might contribute to your upcoming projects?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