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The shift from building prototypes to shipping production-grade AI is where I have focused my career. At trg., you prioritize systems that solve real-world problems, and my recent work reflects that same commitment to reliability and measurement.</w:t>
      </w:r>
    </w:p>
    <w:p>
      <w:pPr>
        <w:spacing w:before="0" w:after="160" w:line="276" w:lineRule="auto"/>
      </w:pPr>
      <w:r>
        <w:rPr>
          <w:sz w:val="21"/>
        </w:rPr>
        <w:t>In my recent project, I built an end-to-end agentic LLM pipeline that handles everything from job scraping to ATS-optimized resume generation. To ensure this system held up under production conditions, I implemented multi-model failover, rate-limiting, and an agentic quality-gate loop that iterates outputs until they hit an 85% match threshold. I also integrated 121 automated unit tests using pytest to ensure the system remains stable 24/7 on Oracle Cloud. My approach to AI is pragmatic; I know when to build a custom Python solution and when to wire up a low-code automation platform like n8n or Power Automate to maximize efficiency.</w:t>
      </w:r>
    </w:p>
    <w:p>
      <w:pPr>
        <w:spacing w:before="0" w:after="160" w:line="276" w:lineRule="auto"/>
      </w:pPr>
      <w:r>
        <w:rPr>
          <w:sz w:val="21"/>
        </w:rPr>
        <w:t>My experience with the NHS A&amp;E performance data gave me a deep appreciation for the stakes involved in public sector projects. By applying advanced SQL window functions and Random Forest classifiers, I was able to quantify a 141× increase in 12-hour wait times, providing clear, data-driven insights into a complex operational crisis. This project taught me the importance of model evaluation and instrumentation—not just shipping a model, but measuring its impact and reliability.</w:t>
      </w:r>
    </w:p>
    <w:p>
      <w:pPr>
        <w:spacing w:before="0" w:after="160" w:line="276" w:lineRule="auto"/>
      </w:pPr>
      <w:r>
        <w:rPr>
          <w:sz w:val="21"/>
        </w:rPr>
        <w:t>I am eager to bring this blend of production-grade engineering and domain-specific analysis to your team. I am fully based in the UK and ready to contribute to the high-stakes projects you are delivering for your clients.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