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Junior 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Junior Data Scientist with an MSc in Computer Science and a proven track record in building end-to-end machine learning pipelines. Proficient in Python, SQL, Scikit-learn, and Pandas, with a strong foundation in modern data tooling including dbt, BigQuery, and Spark. Successfully deployed agentic LLM pipelines and high-accuracy CNN models, achieving 98.84% accuracy in complex classification tasks. Committed to driving business growth through data-driven insights and rigorous model validation in fast-paced FinTech environments, evidenced by a 98.84% model accuracy achievement.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SQL, dbt, BigQuery, Spark, Pandas, NumPy, Power BI, Tableau, Advanced Excel</w:t>
      </w:r>
    </w:p>
    <w:p>
      <w:pPr>
        <w:spacing w:before="0" w:after="20"/>
      </w:pPr>
      <w:r>
        <w:rPr>
          <w:b/>
        </w:rPr>
        <w:t xml:space="preserve">Languages: </w:t>
      </w:r>
      <w:r>
        <w:t>Python, JavaScript, 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Keras, CNNs, model evaluation, cross-validation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AWS S3, Azure, Snowflake, Vercel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pytest, web scraping, agentic pipelines, prompt engineering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predictive modelling  ·  statistical methods  ·  model validation  ·  experimentation  ·  dbt (Data Build Tool) foundations  ·  BigQuery &amp; Spark data processing  ·  FinTech domain analysis  ·  feature engineering  ·  window functions  ·  CTE  ·  data modelling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wildfire image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drivers of NHS A&amp;E performance, revealing a 29% target compliance rate across 188 months of data.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resumes to exceed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Quantified 12+ hour wait time spikes at 141x the March 2019 level, processing 71,517 patient records.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run, utilizing Google Gemini LLMs for predictive modelling and ATS-optimised content generation.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performs iterative model validation to ensure AI-tailored resumes clear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production-grade reliability through rate-limiting, multi-model failover, and 121 automated unit tests using pytest.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foundational knowledge of dbt, BigQuery, and Spark to structure data workflows for high-volume job posting ingestion.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NHS England A&amp;E performance data using advanced SQL window functions and CTEs to evaluate statistical methods for breach risk.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achieving 0.90–0.95 ROC-AUC, identifying rolling 3-month compliance history as a key predictive feature for performance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Visualised 71,517 patient wait-time spikes and seasonality heatmaps via an interactive Chart.js dashboard to support data-driven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BigQuery and Spark-style data processing logic to handle large-scale performance datasets, mirroring FinTech-grade data transformation requirements.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 end-to-end ML pipeline using DenseNet-based CNNs on 2,700+ high-resolution images, achieving 98.84% accuracy and 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 against brightness variation and class imbalance.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Presented complex model evaluation results to academic stakeholders using Matplotlib and Seaborn to communicate performance metrics.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