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/ 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- Machine Learning with a strong foundation in building production-ready, scalable AI systems. Expert in Python, TensorFlow, and GenAI, with a proven track record of deploying agentic pipelines and complex data analytics solutions. Successfully engineered high-accuracy machine learning models and automated testing frameworks to drive performance and reliability. Committed to delivering impactful, data-driven solutions that optimize operational workflows and support long-term business growth.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Deep Learning, GenAI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Analytics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PostgreSQL,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Next.js, React, Node.js, CI/CD,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production-ready code  ·  agentic pipelines  ·  predictive modelling  ·  data augmentation  ·  model evaluation  ·  cross-validation  ·  automated unit tests  ·  dashboard development  ·  feature engineering  ·  RDBMS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NHS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infrastructure on Oracle Cloud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Python pipeline that scrapes ~50 job postings per run across LinkedIn and Indeed, utilizing Google Gemini LLMs to score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ensuring high-quality,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software engineering practices including rate-limiting, exponential-backoff retries, multi-model failover,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scalable application on an Oracle Cloud VM, featuring a responsive Next.js and Tailwind CSS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NHS England A&amp;E performance data using advanced SQL queries, including window functions and CTEs, to interpret the claims management lifecycle and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utilizing feature engineering to identify key predictive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compliance trends and 12-hour waiter spikes, to transform complex data into actionable intelligence.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performance gaps, revealing that the 95% target was met in only 55 of 188 months (29% of the time) and identifying a 51-month consecutive Crisis-status streak.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production-ready ML pipeline for image classification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techniques, including GridSearchCV and cross-validation, to ensure scalability and performance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data processing by addressing class imbalance and brightness variation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