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of deploying production-grade machine learning solutions. Expert in Python, SQL, and ETL pipeline development, with hands-on experience managing large-scale datasets and cloud infrastructure on AWS and Azure. Successfully engineered agentic LLM pipelines and predictive models achieving 98.84% accuracy, demonstrating the ability to transform complex data into actionable insights. Committed to applying advanced analytics and MLOps practices to enhance athlete performance and decision-making at STATSports.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Pandas, NumPy,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Artificial Intelligence, Predictive analytics, Scikit-learn, TensorFlow, Keras, CNNs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MySQL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ETL, MLOps, Data pipeline,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analytics  ·  ETL pipelines  ·  data pipeline development  ·  time-series analysis  ·  model evaluation  ·  cross-validation  ·  sensor data processing  ·  production deployment  ·  data visualisation  · 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complex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121 automated unit tests to ensure production reliability for agentic LLM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71,517 patients waiting 12+ hours in a single month, representing a 141x increase over 2019 levels.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performs ETL processes on ~50 job postings per run across LinkedIn and Indeed, leveraging Google Gemini LLMs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AI-tailored outputs against an 85% ATS match threshold, ensuring high-quality production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MLOps practices including rate-limiting, exponential-backoff retries, multi-model failover, and 121 automated unit tests using pytest.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 Electronic Player Tracking System-style performance datasets to identify trends and actionable insights regarding 4-hour waiting time targets.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advanced SQL queries using window functions and CTEs to perform time-series analysis, classifying performance status across 188 months of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predictive analytics model achieving 0.90–0.95 ROC-AUC, identifying rolling 3-month compliance history as a key feature for breach risk.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to visualise seasonality heatmaps and performance trends for stakeholder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machine learning solution for sensor data processing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accuracy to 98.84%, a +16% improvement over baseline architectures, by applying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model performance using GridSearchCV and cross-validation to ensure reliability and efficiency in production-like environments.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