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Machine Learning Engineer with an MSc in Computer Science, specialising in building and deploying production-grade ML systems. Expert in operationalising models using Scikit-learn, TensorFlow, and PyTorch, with hands-on experience in cloud architecture, security, and container orchestration via Docker and Kubernetes. Proven track record of delivering high-impact predictive modelling and scalable software solutions, including a wildfire detection system achieving 98.84% accuracy and a 24/7 automated pipeline with 121 unit tests.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Scikit-learn, TensorFlow, PyTorch, predictive modelling, CNNs (DenseNet), model evaluation</w:t>
      </w:r>
    </w:p>
    <w:p>
      <w:pPr>
        <w:spacing w:before="0" w:after="20"/>
      </w:pPr>
      <w:r>
        <w:rPr>
          <w:b/>
        </w:rPr>
        <w:t xml:space="preserve">Cloud &amp; DB: </w:t>
      </w:r>
      <w:r>
        <w:t>Cloud infrastructure, AWS, Azure, Oracle Cloud, Docker, Kubernetes, Snowflake, security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data modelling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production-grade, agentic pipelines, pytest, web scraping, software engineering best practices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production-grade ML systems  ·  machine learning lifecycle  ·  cloud infrastructure and security  ·  scalable software architecture  ·  Docker containerization  ·  Kubernetes orchestration  ·  predictive modelling  ·  Energy, Transition and Environment domain foundations  ·  stakeholder advisory  ·  automated unit testing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in wildfire detection (+16% over baseline)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24/7 production-grade infrastructure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month Crisis-status streak identified in 188 months of NHS data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–0.95 ROC-AUC predictive model for monthly breach risk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deployed production-grade ML software, scraping ~50 job postings per run to deliver automated, ATS-optimised outreach.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scalable software architecture by containerising the application using Docker and managing orchestration via Kubernetes to ensure 24/7 uptime on cloud infrastructure.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agentic quality-gate loops to ensure high-quality, production-grade outputs, iterating until reaching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system integrity and security within a 24/7 cloud infrastructure environment.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Led technical scoping and predictive modelling of 188 months of NHS performance data to identify drivers of 4-hour target breaches, building foundations for Energy, Transition and Environment sector-style infrastructure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advanced SQL queries and data modelling to classify performance trends, revealing that the 95% target was met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using Scikit-learn to predict monthly breach risk with 0.90–0.95 ROC-AUC, identifying a 51-month Crisis-status streak.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surfacing 6 live KPIs, translating complex ML concepts into actionable visualisations for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 production-grade ML pipeline for wildfire detection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Increased model performance by +16% over baseline architectures by applying GridSearchCV and cross-validation to ensure robust, scalable results.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Containerised the inference environment using Docker to ensure consistency and security across development and deployment stages.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data augmentation and Multi-Scale Retinex preprocessing to address class imbalance and environmental brightness variation.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