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/ ML Platform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/ ML Platform Engineer with an MSc in Computer Science and a track record of deploying production-grade agentic pipelines. Expert in building scalable data architectures using Python, SQL, and Azure-native cloud services to support real-time inference and model reliability. Proven ability to engineer complex ML systems, including multi-model failover and automated quality-gate loops, ensuring high-performance outcomes. Successfully delivered a 98.84% accurate wildfire detection system and an NHS performance analytics platform, demonstrating a commitment to evidence-led, explainable AI solutions.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Pandas, NumPy, Power BI, Tableau, Data modelling</w:t>
      </w:r>
    </w:p>
    <w:p>
      <w:pPr>
        <w:spacing w:before="0" w:after="20"/>
      </w:pPr>
      <w:r>
        <w:rPr>
          <w:b/>
        </w:rPr>
        <w:t xml:space="preserve">Machine Learning: </w:t>
      </w:r>
      <w:r>
        <w:t>ML, TensorFlow, Keras, Scikit-learn, CNNs, Model evaluation, Feature engineering</w:t>
      </w:r>
    </w:p>
    <w:p>
      <w:pPr>
        <w:spacing w:before="0" w:after="20"/>
      </w:pPr>
      <w:r>
        <w:rPr>
          <w:b/>
        </w:rPr>
        <w:t xml:space="preserve">Cloud &amp; DB: </w:t>
      </w:r>
      <w:r>
        <w:t>Azure, Oracle Cloud, AWS S3, Snowflake, Cloud infrastructure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pipelines, pytest, Web scraping, LLM API integration, Prompt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real-time data backbone  ·  production-ready inference  ·  batch and streaming pipelines  ·  model lineage  ·  explainable AI  ·  data schemas  ·  automated quality-gate loops  ·  multi-model failover  ·  predictive modelling  ·  data augmentation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until reaching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NHS performance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production pipelines with 121 automated unit tests using pytest.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Google Gemini LLMs to score and rank matches for production-ready inference.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content, ensuring every output meets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rate-limiting, exponential-backoff retries, and multi-model failover to ensure system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maintaining a responsive Next.js dashboard for real-time monitoring and system interaction.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code quality and pipeline repeatability at scale.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(Aug 2010 – Mar 2026) to build a trusted data backbone for investigating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OVER), CTEs, and CASE logic to classify performance,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predicting monthly breach risk with 0.90–0.95 ROC-AUC, identifying rolling 3-month compliance history as a key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surfacing compliance trends and 12-hour waiter spikes, providing stakeholders with explainable, evidence-led insights.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wildfire detection using DenseNet-based CNNs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 augmentation and Multi-Scale Retinex preprocessing to ensure model robustness against brightness variation and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GridSearchCV and cross-validation to optimize model parameters, ensuring the final system was effective and auditable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