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Artificial Intelligence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Artificial Intelligence Engineer with expertise in shipping production-grade LLM pipelines, agentic workflows, and RAG systems. Proven ability to integrate low-code automation platforms like n8n and Power Automate with custom Python-based ML services to solve complex operational challenges. Delivered a 98.84% accuracy wildfire detection system and a 24/7 production-grade agentic pipeline, achieving a 141× performance insight scale in public sector NHS analytics.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GenAI &amp; LLMs: </w:t>
      </w:r>
      <w:r>
        <w:t>agentic pipelines, RAG systems, LLM application deployment, prompt engineering, multi-model failover, n8n, Power Automate</w:t>
      </w:r>
    </w:p>
    <w:p>
      <w:pPr>
        <w:spacing w:before="0" w:after="20"/>
      </w:pPr>
      <w:r>
        <w:rPr>
          <w:b/>
        </w:rPr>
        <w:t xml:space="preserve">Machine Learning: </w:t>
      </w:r>
      <w:r>
        <w:t>model evaluation, instrumentation, Scikit-learn, TensorFlow, Keras, CNNs (DenseNet), cross-validation, MLOps concepts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Advanced Excel</w:t>
      </w:r>
    </w:p>
    <w:p>
      <w:pPr>
        <w:spacing w:before="0" w:after="20"/>
      </w:pPr>
      <w:r>
        <w:rPr>
          <w:b/>
        </w:rPr>
        <w:t xml:space="preserve">Cloud &amp; Engineering: </w:t>
      </w:r>
      <w:r>
        <w:t>Oracle Cloud, AWS S3, Azure, Next.js, pytest, web scraping, Node.js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agentic pipelines  ·  RAG systems  ·  n8n / Power Automate automation  ·  MLOps toolchain integration  ·  production-grade LLM deployment  ·  model evaluation &amp; instrumentation  ·  public sector domain expertise  ·  SC Clearance (eligible)  ·  SQL window functions  ·  automated unit testing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outputs to clear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188 months of NHS performance data, identifying a 141× increase in 12-hour wait times since 2019.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production systems on Oracle Cloud with 121 automated unit tests using pytest.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utilizing RAG systems and Google Gemini LLMs to score, rank, and auto-tailor content.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low-code automation logic (n8n/Power Automate principles) to streamline workflow triggers and task orchestration.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programmatically; validated pipeline integrity with 121 automated unit tests (pytest) and MLOps-style instrumentation.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real NHS England A&amp;E performance data (Aug 2010 – Mar 2026) to identify drivers behind the collapse of the 4-hour waiting time target.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(LAG, AVG OVER) and CTEs to classify monthly performance, revealing the NHS met its 95% target in only 55 of 188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an unbroken Crisis-status streak of 51 consecutive months, with January 2026 recording 71,517 patients waiting 12+ hours — 141× the March 2019 level.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predicting monthly breach risk (0.90–0.95 ROC-AUC), applying model evaluation best practices to identify key predictive features.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Chart.js dashboard with 6 live charts, providing public sector stakeholders with actionable performance insights.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visualised performance with Matplotlib/Seaborn and presented results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