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Software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Software Engineer with an MSc in Computer Science, specializing in delivering production-ready, cloud-based solutions through modern engineering practices including CI/CD, automated testing, and observability. Expert in Python, SQL, and JavaScript, with a strong foundation in C++ and Java through intensive technical engineering projects. Proven track record of collaborating with stakeholders to define user requirements and deliver high-impact, scalable software, with a 25% travel readiness and a 98.84% model accuracy achievement.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C++, Java, C#, JavaScript, TypeScript, SQL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DAX, Scikit-learn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DenseNet, CNNs, Model Evaluation</w:t>
      </w:r>
    </w:p>
    <w:p>
      <w:pPr>
        <w:spacing w:before="0" w:after="20"/>
      </w:pPr>
      <w:r>
        <w:rPr>
          <w:b/>
        </w:rPr>
        <w:t xml:space="preserve">Cloud &amp; DB: </w:t>
      </w:r>
      <w:r>
        <w:t>Azure, Oracle Cloud, AWS,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CI/CD, Automated Testing, Observability, Progressive Delivery, pytest, Design Documents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Large-scale enterprise software development  ·  Cloud-based solutions  ·  Production-ready software delivery  ·  User requirements gathering  ·  Technical design documents  ·  Cross-functional team collaboration  ·  Growth mindset  ·  % travel availability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121 automated unit tests for a 24/7 production-ready agentic pipeline.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data, identifying a 51-month crisis streak and 141× increase in wait times.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with 0.90–0.95 ROC-AUC for predictive risk assessment.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production-ready Python pipeline that scrapes ~50 job postings per run, utilizing Google Gemini LLMs to deliver ATS-optimised application assets for external users.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an agentic quality-gate loop that iterates until it clears an 85% ATS match threshold, ensuring high-impact outcomes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modern engineering practices including CI/CD, rate-limiting, multi-model failover, and 121 automated unit tests using pytest to ensure 24/7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as a scalable Telegram bot on an Oracle Cloud VM, maintaining observability and progressive delivery for a responsive Next.js + Tailwind CSS dashboard.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with stakeholders to determine user requirements and authored technical design documents to investigate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 across 188 months of data, revealing the NHS met its 95% target in only 55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predicting monthly breach risk with 0.90–0.95 ROC-AUC, identifying key predictive features for enterprise-level stakeholder review.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with 6 live charts, ensuring data-driven insights were accessible for performance monitoring and customer-facing reporting.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modern engineering practices including GridSearchCV and cross-validation to ensure model robustness and performance consistency in a production-ready environment.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technical results to academic stakeholders, translating complex model performance into actionable insights for real-world application.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