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with an MSc in Computer Science, specializing in end-to-end machine learning solutions and MLOps. Proven track record in production deployment, model tuning, and data engineering, including building agentic LLM pipelines and predictive models on AWS and Azure. Experienced in applying advanced SQL and data analysis to financial and performance datasets, achieving a 98.84% accuracy rate in deep learning applications and delivering actionable insights for complex business challenges.</w:t>
      </w:r>
    </w:p>
    <w:p>
      <w:pPr>
        <w:keepNext/>
        <w:spacing w:before="200" w:after="40"/>
        <w:pBdr>
          <w:bottom w:val="single" w:sz="6" w:space="1" w:color="808080"/>
        </w:pBdr>
      </w:pPr>
      <w:r>
        <w:rPr>
          <w:b/>
          <w:sz w:val="22"/>
        </w:rPr>
        <w:t>CORE SKILLS</w:t>
      </w:r>
    </w:p>
    <w:p>
      <w:pPr>
        <w:spacing w:before="0" w:after="20"/>
      </w:pPr>
      <w:r>
        <w:rPr>
          <w:b/>
        </w:rPr>
        <w:t xml:space="preserve">Data &amp; BI: </w:t>
      </w:r>
      <w:r>
        <w:t>SQL, Spark, Hive, Redshift, Pandas, NumPy, Power BI, Tableau</w:t>
      </w:r>
    </w:p>
    <w:p>
      <w:pPr>
        <w:spacing w:before="0" w:after="20"/>
      </w:pPr>
      <w:r>
        <w:rPr>
          <w:b/>
        </w:rPr>
        <w:t xml:space="preserve">Machine Learning: </w:t>
      </w:r>
      <w:r>
        <w:t>Scikit-learn, TensorFlow, Keras, CNNs, model tuning, predictive modelling, cross-validation</w:t>
      </w:r>
    </w:p>
    <w:p>
      <w:pPr>
        <w:spacing w:before="0" w:after="20"/>
      </w:pPr>
      <w:r>
        <w:rPr>
          <w:b/>
        </w:rPr>
        <w:t xml:space="preserve">Languages: </w:t>
      </w:r>
      <w:r>
        <w:t>Python, JavaScript, TypeScript</w:t>
      </w:r>
    </w:p>
    <w:p>
      <w:pPr>
        <w:spacing w:before="0" w:after="20"/>
      </w:pPr>
      <w:r>
        <w:rPr>
          <w:b/>
        </w:rPr>
        <w:t xml:space="preserve">Cloud &amp; DB: </w:t>
      </w:r>
      <w:r>
        <w:t>AWS, Azure, Oracle Cloud, Snowflake, AWS S3</w:t>
      </w:r>
    </w:p>
    <w:p>
      <w:pPr>
        <w:spacing w:before="0" w:after="20"/>
      </w:pPr>
      <w:r>
        <w:rPr>
          <w:b/>
        </w:rPr>
        <w:t xml:space="preserve">Tools &amp; Methods: </w:t>
      </w:r>
      <w:r>
        <w:t>MLOps, CI/CD, pytest, agentic pipelines, prompt engineering, web scraping</w:t>
      </w:r>
    </w:p>
    <w:p>
      <w:pPr>
        <w:keepNext/>
        <w:spacing w:before="200" w:after="40"/>
        <w:pBdr>
          <w:bottom w:val="single" w:sz="6" w:space="1" w:color="808080"/>
        </w:pBdr>
      </w:pPr>
      <w:r>
        <w:rPr>
          <w:b/>
          <w:sz w:val="22"/>
        </w:rPr>
        <w:t>CORE COMPETENCIES</w:t>
      </w:r>
    </w:p>
    <w:p>
      <w:pPr>
        <w:spacing w:before="0" w:after="40"/>
      </w:pPr>
      <w:r>
        <w:t>end-to-end delivery  ·  production deployment  ·  MLOps  ·  model tuning  ·  data engineering  ·  Spark/Hive/Redshift foundations  ·  financial services data analysis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 accuracy on wildfire detection (+16% vs baseline)</w:t>
      </w:r>
    </w:p>
    <w:p>
      <w:pPr>
        <w:pStyle w:val="ListBullet"/>
        <w:spacing w:before="0" w:after="40"/>
        <w:ind w:left="360"/>
      </w:pPr>
      <w:r/>
      <w:r>
        <w:rPr>
          <w:sz w:val="21"/>
        </w:rPr>
        <w:t>automated unit tests for 24/7 production reliability</w:t>
      </w:r>
    </w:p>
    <w:p>
      <w:pPr>
        <w:pStyle w:val="ListBullet"/>
        <w:spacing w:before="0" w:after="40"/>
        <w:ind w:left="360"/>
      </w:pPr>
      <w:r/>
      <w:r>
        <w:rPr>
          <w:sz w:val="21"/>
        </w:rPr>
        <w:t>Analyzed 188 months of performance data to identify critical breach drivers</w:t>
      </w:r>
    </w:p>
    <w:p>
      <w:pPr>
        <w:pStyle w:val="ListBullet"/>
        <w:spacing w:before="0" w:after="40"/>
        <w:ind w:left="360"/>
      </w:pPr>
      <w:r/>
      <w:r>
        <w:rPr>
          <w:sz w:val="21"/>
        </w:rPr>
        <w:t>Automated ATS-optimized document generation with 85% match threshold</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utilizing Google Gemini LLMs to score and rank candidates.</w:t>
      </w:r>
    </w:p>
    <w:p>
      <w:pPr>
        <w:pStyle w:val="ListBullet"/>
        <w:spacing w:before="0" w:after="40"/>
        <w:ind w:left="360"/>
      </w:pPr>
      <w:r/>
      <w:r>
        <w:rPr>
          <w:sz w:val="21"/>
        </w:rPr>
        <w:t>Engineered an agentic quality-gate loop that iterates AI-tailored resumes until clearing an 85% ATS match threshold before delivery.</w:t>
      </w:r>
    </w:p>
    <w:p>
      <w:pPr>
        <w:pStyle w:val="ListBullet"/>
        <w:spacing w:before="0" w:after="40"/>
        <w:ind w:left="360"/>
      </w:pPr>
      <w:r/>
      <w:r>
        <w:rPr>
          <w:sz w:val="21"/>
        </w:rPr>
        <w:t>Ensured 24/7 production reliability through MLOps practices including rate-limiting, multi-model failover, and 121 automated pytest unit tests.</w:t>
      </w:r>
    </w:p>
    <w:p>
      <w:pPr>
        <w:pStyle w:val="ListBullet"/>
        <w:spacing w:before="0" w:after="40"/>
        <w:ind w:left="360"/>
      </w:pPr>
      <w:r/>
      <w:r>
        <w:rPr>
          <w:sz w:val="21"/>
        </w:rPr>
        <w:t>Deployed as a scalable Telegram bot on Oracle Cloud, demonstrating end-to-end delivery from concept to production.</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Analyzed 188 months of performance data using advanced SQL (window functions, CTEs) to identify drivers of 4-hour target breaches, mirroring financial sector data engineering workflows.</w:t>
      </w:r>
    </w:p>
    <w:p>
      <w:pPr>
        <w:pStyle w:val="ListBullet"/>
        <w:spacing w:before="0" w:after="40"/>
        <w:ind w:left="360"/>
      </w:pPr>
      <w:r/>
      <w:r>
        <w:rPr>
          <w:sz w:val="21"/>
        </w:rPr>
        <w:t>Developed a Random Forest classifier achieving 0.90–0.95 ROC-AUC to predict monthly breach risk, providing actionable insights for stakeholders.</w:t>
      </w:r>
    </w:p>
    <w:p>
      <w:pPr>
        <w:pStyle w:val="ListBullet"/>
        <w:spacing w:before="0" w:after="40"/>
        <w:ind w:left="360"/>
      </w:pPr>
      <w:r/>
      <w:r>
        <w:rPr>
          <w:sz w:val="21"/>
        </w:rPr>
        <w:t>Identified a 51-month consecutive crisis streak, with January 2026 volume 141× higher than March 2019 levels, utilizing data modelling techniques.</w:t>
      </w:r>
    </w:p>
    <w:p>
      <w:pPr>
        <w:pStyle w:val="ListBullet"/>
        <w:spacing w:before="0" w:after="40"/>
        <w:ind w:left="360"/>
      </w:pPr>
      <w:r/>
      <w:r>
        <w:rPr>
          <w:sz w:val="21"/>
        </w:rPr>
        <w:t>Delivered an interactive dashboard surfacing KPIs and trends, demonstrating technical communication of complex data to non-technical audiences.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on 2,700+ high-resolution images, achieving 98.84% accuracy—a +16% improvement over baseline architectures.</w:t>
      </w:r>
    </w:p>
    <w:p>
      <w:pPr>
        <w:pStyle w:val="ListBullet"/>
        <w:spacing w:before="0" w:after="40"/>
        <w:ind w:left="360"/>
      </w:pPr>
      <w:r/>
      <w:r>
        <w:rPr>
          <w:sz w:val="21"/>
        </w:rPr>
        <w:t>Executed rigorous model tuning using GridSearchCV and cross-validation to ensure robustness against brightness variation and class imbalance.</w:t>
      </w:r>
    </w:p>
    <w:p>
      <w:pPr>
        <w:pStyle w:val="ListBullet"/>
        <w:spacing w:before="0" w:after="40"/>
        <w:ind w:left="360"/>
      </w:pPr>
      <w:r/>
      <w:r>
        <w:rPr>
          <w:sz w:val="21"/>
        </w:rPr>
        <w:t>Presented findings to academic stakeholders, bridging the gap between complex deep learning model development and practical application.</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