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 - TikTok PGC (London)</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with an MSc in Computer Science and a strong foundation in statistical analysis, machine learning, and content ecosystem modeling. Proficient in Python, SQL, and causal inference methodologies to drive product growth and recommendation efficiency. Proven track record of designing core metrics frameworks and conducting end-to-end data analysis to uncover supply/demand dynamics. Successfully delivered high-impact projects including a 98.84% accurate wildfire detection system and an NHS performance analytics platform that identified critical 4-hour target breach drivers.</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Pandas, NumPy, Advanced Excel, Data analysis</w:t>
      </w:r>
    </w:p>
    <w:p>
      <w:pPr>
        <w:spacing w:before="0" w:after="20"/>
      </w:pPr>
      <w:r>
        <w:rPr>
          <w:b/>
        </w:rPr>
        <w:t xml:space="preserve">Languages: </w:t>
      </w:r>
      <w:r>
        <w:t>Python, JavaScript/TypeScript</w:t>
      </w:r>
    </w:p>
    <w:p>
      <w:pPr>
        <w:spacing w:before="0" w:after="20"/>
      </w:pPr>
      <w:r>
        <w:rPr>
          <w:b/>
        </w:rPr>
        <w:t xml:space="preserve">Machine Learning: </w:t>
      </w:r>
      <w:r>
        <w:t>Scikit-learn, TensorFlow, Keras, CNNs (DenseNet), Random Forest, Causal inference, A/B testing</w:t>
      </w:r>
    </w:p>
    <w:p>
      <w:pPr>
        <w:spacing w:before="0" w:after="20"/>
      </w:pPr>
      <w:r>
        <w:rPr>
          <w:b/>
        </w:rPr>
        <w:t xml:space="preserve">Cloud &amp; DB: </w:t>
      </w:r>
      <w:r>
        <w:t>Oracle Cloud, AWS S3, Azure, Snowflake, Vercel</w:t>
      </w:r>
    </w:p>
    <w:p>
      <w:pPr>
        <w:spacing w:before="0" w:after="20"/>
      </w:pPr>
      <w:r>
        <w:rPr>
          <w:b/>
        </w:rPr>
        <w:t xml:space="preserve">Tools &amp; Methods: </w:t>
      </w:r>
      <w:r>
        <w:t>Agentic pipelines, Prompt engineering, pytest, web scraping, Chart.js</w:t>
      </w:r>
    </w:p>
    <w:p>
      <w:pPr>
        <w:keepNext/>
        <w:spacing w:before="200" w:after="40"/>
        <w:pBdr>
          <w:bottom w:val="single" w:sz="6" w:space="1" w:color="808080"/>
        </w:pBdr>
      </w:pPr>
      <w:r>
        <w:rPr>
          <w:b/>
          <w:sz w:val="22"/>
        </w:rPr>
        <w:t>CORE COMPETENCIES</w:t>
      </w:r>
    </w:p>
    <w:p>
      <w:pPr>
        <w:spacing w:before="0" w:after="40"/>
      </w:pPr>
      <w:r>
        <w:t>end-to-end data analysis  ·  core metrics framework  ·  causal inference  ·  A/B testing  ·  content ecosystem  ·  recommendation systems  ·  supply/demand dynamics  ·  root-cause diagnosis  ·  cross-functional collaboration  ·  product growth opportunities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Identified drivers of NHS A&amp;E performance, revealing a 29% target compliance rate across 188 months.</w:t>
      </w:r>
    </w:p>
    <w:p>
      <w:pPr>
        <w:pStyle w:val="ListBullet"/>
        <w:spacing w:before="0" w:after="40"/>
        <w:ind w:left="360"/>
      </w:pPr>
      <w:r/>
      <w:r>
        <w:rPr>
          <w:sz w:val="21"/>
        </w:rPr>
        <w:t>Built an agentic LLM pipeline with 121 automated tests, maintaining 24/7 uptime on cloud infrastructure.</w:t>
      </w:r>
    </w:p>
    <w:p>
      <w:pPr>
        <w:pStyle w:val="ListBullet"/>
        <w:spacing w:before="0" w:after="40"/>
        <w:ind w:left="360"/>
      </w:pPr>
      <w:r/>
      <w:r>
        <w:rPr>
          <w:sz w:val="21"/>
        </w:rPr>
        <w:t>Processed 71,517 patient records to diagnose 12-hour wait time spikes, 141× higher than 2019 levels.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Conducted end-to-end data analysis on ~50 job postings per run to uncover supply/demand dynamics across LinkedIn and Indeed.</w:t>
      </w:r>
    </w:p>
    <w:p>
      <w:pPr>
        <w:pStyle w:val="ListBullet"/>
        <w:spacing w:before="0" w:after="40"/>
        <w:ind w:left="360"/>
      </w:pPr>
      <w:r/>
      <w:r>
        <w:rPr>
          <w:sz w:val="21"/>
        </w:rPr>
        <w:t>Designed a core metrics framework to score and rank matches, iterating via an agentic quality-gate loop to ensure 85% ATS match efficiency.</w:t>
      </w:r>
    </w:p>
    <w:p>
      <w:pPr>
        <w:pStyle w:val="ListBullet"/>
        <w:spacing w:before="0" w:after="40"/>
        <w:ind w:left="360"/>
      </w:pPr>
      <w:r/>
      <w:r>
        <w:rPr>
          <w:sz w:val="21"/>
        </w:rPr>
        <w:t>Partnered with automated testing protocols (121 unit tests via pytest) to ensure system reliability and drive strategy execution.</w:t>
      </w:r>
    </w:p>
    <w:p>
      <w:pPr>
        <w:pStyle w:val="ListBullet"/>
        <w:spacing w:before="0" w:after="40"/>
        <w:ind w:left="360"/>
      </w:pPr>
      <w:r/>
      <w:r>
        <w:rPr>
          <w:sz w:val="21"/>
        </w:rPr>
        <w:t>Deployed a 24/7 content distribution and automation tool on Oracle Cloud, utilizing multi-model failover to optimize user experience.</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Performed root-cause diagnosis on 188 months of NHS England A&amp;E data, utilizing SQL window functions and CTEs to classify performance trends.</w:t>
      </w:r>
    </w:p>
    <w:p>
      <w:pPr>
        <w:pStyle w:val="ListBullet"/>
        <w:spacing w:before="0" w:after="40"/>
        <w:ind w:left="360"/>
      </w:pPr>
      <w:r/>
      <w:r>
        <w:rPr>
          <w:sz w:val="21"/>
        </w:rPr>
        <w:t>Designed and analyzed predictive models (Random Forest) to identify breach risk, achieving 0.90–0.95 ROC-AUC for impact evaluation.</w:t>
      </w:r>
    </w:p>
    <w:p>
      <w:pPr>
        <w:pStyle w:val="ListBullet"/>
        <w:spacing w:before="0" w:after="40"/>
        <w:ind w:left="360"/>
      </w:pPr>
      <w:r/>
      <w:r>
        <w:rPr>
          <w:sz w:val="21"/>
        </w:rPr>
        <w:t>Delivered an interactive Chart.js dashboard to visualize seasonality heatmaps and 12-hour waiter spikes, supporting data-driven decision efficiency.</w:t>
      </w:r>
    </w:p>
    <w:p>
      <w:pPr>
        <w:pStyle w:val="ListBullet"/>
        <w:spacing w:before="0" w:after="40"/>
        <w:ind w:left="360"/>
      </w:pPr>
      <w:r/>
      <w:r>
        <w:rPr>
          <w:sz w:val="21"/>
        </w:rPr>
        <w:t>Validated hypotheses regarding the 4-hour target collapse, identifying that the NHS met its 95% target in only 55 of 188 months (29% of the time).</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image classification on 2,700+ high-resolution images, achieving 98.84% accuracy (+16% over baseline).</w:t>
      </w:r>
    </w:p>
    <w:p>
      <w:pPr>
        <w:pStyle w:val="ListBullet"/>
        <w:spacing w:before="0" w:after="40"/>
        <w:ind w:left="360"/>
      </w:pPr>
      <w:r/>
      <w:r>
        <w:rPr>
          <w:sz w:val="21"/>
        </w:rPr>
        <w:t>Applied scientific methods including GridSearchCV and cross-validation to evaluate model robustness and performance.</w:t>
      </w:r>
    </w:p>
    <w:p>
      <w:pPr>
        <w:pStyle w:val="ListBullet"/>
        <w:spacing w:before="0" w:after="40"/>
        <w:ind w:left="360"/>
      </w:pPr>
      <w:r/>
      <w:r>
        <w:rPr>
          <w:sz w:val="21"/>
        </w:rPr>
        <w:t>Presented findings to academic stakeholders, translating complex model metrics into actionable insights for environmental monitoring.</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