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24 June 2026</w:t>
      </w:r>
    </w:p>
    <w:p>
      <w:pPr>
        <w:spacing w:before="0" w:after="160" w:line="276" w:lineRule="auto"/>
      </w:pPr>
      <w:r>
        <w:rPr>
          <w:sz w:val="21"/>
        </w:rPr>
        <w:t>The mission at ProblemShared to apply 'data for good' to neurodivergent care resonates with my own background in clinical data analysis. During my MSc, I focused on building reproducible research workflows, specifically analyzing 188 months of NHS A&amp;E performance data. By applying advanced SQL window functions, I was able to identify a 141× increase in 12+ hour wait times, providing the kind of clear, evidence-informed reporting that your senior leaders require to make critical decisions.</w:t>
      </w:r>
    </w:p>
    <w:p>
      <w:pPr>
        <w:spacing w:before="0" w:after="160" w:line="276" w:lineRule="auto"/>
      </w:pPr>
      <w:r>
        <w:rPr>
          <w:sz w:val="21"/>
        </w:rPr>
        <w:t>I understand that you are currently scaling your data platform using Databricks and dbt. While my core experience is in Python and SQL, I have been actively building my foundation in these technologies to ensure I can contribute to your governed, code-first reporting environment immediately. I am comfortable working with stakeholders who need clarity on complex clinical metrics, and I prioritize 'fit, not fault' in how I frame data about people.</w:t>
      </w:r>
    </w:p>
    <w:p>
      <w:pPr>
        <w:spacing w:before="0" w:after="160" w:line="276" w:lineRule="auto"/>
      </w:pPr>
      <w:r>
        <w:rPr>
          <w:sz w:val="21"/>
        </w:rPr>
        <w:t>My approach to data is rooted in reproducibility and rigor. Whether it is maintaining 121 automated tests for an agentic LLM pipeline or achieving 98.84% accuracy in a predictive model, I focus on building systems that are reliable and transparent. I am eager to join a team that values mental agility and neurodiversity, and I am ready to help your team set the standards for information legibility across the organization.</w:t>
      </w:r>
    </w:p>
    <w:p>
      <w:pPr>
        <w:spacing w:before="0" w:after="160" w:line="276" w:lineRule="auto"/>
      </w:pPr>
      <w:r>
        <w:rPr>
          <w:sz w:val="21"/>
        </w:rPr>
        <w:t>Thank you for considering my application. I am excited about the possibility of contributing to your data mission.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