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24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PHMG. Having recently completed my MSc in Computer Science with a focus on machine learning, I have developed a robust technical toolkit in Python, scikit-learn, and pandas that I am eager to apply within a commercial environment. My projects, including a predictive model for NHS performance that achieved 0.90–0.95 ROC-AUC, demonstrate my ability to turn complex datasets into actionable insights.</w:t>
      </w:r>
    </w:p>
    <w:p>
      <w:pPr>
        <w:spacing w:before="0" w:after="160" w:line="276" w:lineRule="auto"/>
      </w:pPr>
      <w:r>
        <w:rPr>
          <w:sz w:val="21"/>
        </w:rPr>
        <w:t>PHMG’s commitment to data-driven decision-making and its digital transformation journey resonate with my own approach to problem-solving. I have significant experience in statistical analysis and segmentation, and I am confident in my ability to help your team forecast subscription renewals and revenue trends. My work on agentic LLM pipelines and high-accuracy classification models has prepared me to work collaboratively within a cross-functional team to deliver clear, impactful findings to stakeholders.</w:t>
      </w:r>
    </w:p>
    <w:p>
      <w:pPr>
        <w:spacing w:before="0" w:after="160" w:line="276" w:lineRule="auto"/>
      </w:pPr>
      <w:r>
        <w:rPr>
          <w:sz w:val="21"/>
        </w:rPr>
        <w:t>Beyond my technical skills, I bring a self-starter mindset and a commitment to continuous improvement. Whether it is optimizing a model for 98.84% accuracy or automating workflows to improve efficiency, I focus on delivering results that drive business change. I am excited about the prospect of joining a world-leading audio branding agency and contributing to the next phase of your data evolution.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