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in predictive modelling and advanced analytics. Expert in Python, SQL, and Scikit-learn, with a focus on building production-ready machine learning solutions for complex risk and performance challenges. Successfully delivered a Random Forest classifier achieving 0.90–0.95 ROC-AUC for risk assessment and a high-accuracy wildfire detection system. Committed to translating business strategy into data-driven solutions that optimize pricing and risk management.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Predictive models, Random Forest, TensorFlow, Keras, CNNs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pytest, Unit tests, Cross-validation, Feature engineering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risk assessment  ·  statistical approaches  ·  data-driven solutions  ·  pricing opportunities  ·  model evaluation  ·  feature engineering  ·  production-ready tools  ·  cross-functional collaboration  ·  quantitative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0.90–0.95 ROC-AUC on a Random Forest classifier for monthly breach risk prediction.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complex performance data to identify critical risk drivers in NHS A&amp;E operations.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an agentic LLM pipeline with 121 unit tests to ensure production-grade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data-driven Python pipeline to scrape ~50 job postings, utilizing Google Gemini LLMs to score and rank opportunities for pricing and risk-based matching.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until reaching an 85% ATS match threshold, ensuring production-ready output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software engineering best practices including rate-limiting, exponential-backoff retries, and 121 unit tests using pytest to maintain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application on an Oracle Cloud VM, managing version control via Git to support continuous integration and deployment.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to identify drivers of risk and performance collapse, translating complex business challenges into actionable data problems.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that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to predict monthly breach risk, achieving 0.90–0.95 ROC-AUC by applying feature engineering to rolling 3-month compliance history.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and Chart.js dashboard to visualize risk metrics, seasonality heatmaps, and 12-hour waiter spikes for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predictive model for early detection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model evaluation techniques including GridSearchCV and cross-validation to ensure robustness in the final predictive solution.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findings to academic stakeholders, demonstrating the application of advanced machine learning to real-world environmental risk assessment.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