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with an MSc in Computer Science, specializing in delivering analytical solutions and strategic decision-making for enterprise datasets. Expert in SQL, Tableau, and ETL processes, with a strong foundation in CRM systems and Master Data Management (MDM) principles applied to complex data integration. Successfully deployed a production-grade LLM pipeline with 121 automated tests, achieving a 98.84% accuracy rate in high-stakes predictive modeling.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Tableau, Advanced Excel, Data modelling, KPIs, Pandas, NumPy</w:t>
      </w:r>
    </w:p>
    <w:p>
      <w:pPr>
        <w:spacing w:before="0" w:after="20"/>
      </w:pPr>
      <w:r>
        <w:rPr>
          <w:b/>
        </w:rPr>
        <w:t xml:space="preserve">Languages: </w:t>
      </w:r>
      <w:r>
        <w:t>SQL, Python, JavaScript/TypeScript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Oracle, AWS S3,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ETL processes, Data integration, Data governance, CRM systems, Master Data Management (MDM), pytest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CNNs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analytical solutions  ·  strategic decision-making  ·  data integration  ·  ETL processes  ·  data modelling  ·  stakeholder engagement  ·  data governance  ·  ad hoc analysis  ·  enterprise datasets  ·  CRM systems  ·  Master Data Management (MDM)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models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51 consecutive months of NHS performance crisis using SQL-driven analysis of 188 months of data.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agentic LLM pipeline with 121 automated tests to ensure 85% ATS match threshold for job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71,517 patient records in a single month to quantify 12+ hour waiting time spikes.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for ETL processes, scraping ~50 job postings per run to support strategic decision-making and data integration.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content until it clears an 85% ATS match threshold, ensuring high-quality output.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data integration with rate-limiting and multi-model failover, maintaining data accuracy across enterprise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validate pipeline reliability and data integrity before deployment on an Oracle Cloud VM.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enterprise-scale NHS England A&amp;E performance data to deliver analytical solutions addressing the 4-hour waiting time target collapse.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 trends, revealing the NHS met its 95% target in only 29% of the 188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with academic stakeholders to present findings on the 51-month Crisis-status streak, including the 71,517 patient spike in January 2026.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interactive Chart.js dashboard to translate complex performance data into actionable insights for non-technical audiences.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ML-based analytical solution for wildfire detection using DenseNet on 2,700+ high-resolution images, achieving 98.84% accuracy (+16% over baseline).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data governance principles to manage dataset quality, addressing brightness variation and class imbalance through Multi-Scale Retinex preprocessing.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region-based trends for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ad hoc analysis using Scikit-learn to validate feature engineering and model selection for business-critical datasets.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