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 strong foundation in SQL, Tableau, and advanced analytical modelling. Expert in transforming complex datasets into actionable business insights, evidenced by a 98.84% accuracy rate in predictive modelling and large-scale performance analysis. Proficient in building interactive dashboards and automated ETL pipelines to support strategic decision-making. Committed to delivering high-quality analytical solutions that align with enterprise data governance and business requirements.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BI, Advanced Excel, Data modelling, KPIs, Dashboard development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ETL processes, Data integration, Data governance, Scikit-learn, pytest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modelling, Random Forest, CNNs, Model evaluation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ETL pipelines  ·  dashboard development  ·  data integration  ·  data governance  ·  business decision-making  ·  SQL window functions  ·  data modelling  ·  KPI tracking  ·  ad hoc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 CNNs,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drivers of NHS A&amp;E performance, revealing a 95% target compliance rate in only 29% of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 to ensure 85% ATS match thresholds for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quantify a 141× increase in 12+ hour wait times since 2019.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ETL pipeline that scrapes ~50 job postings per run, integrating data from LinkedIn and Indeed to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production-grade reliability through rate-limiting, multi-model failover, and content-based deduplication, hosted on an Oracle Cloud VM.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data integrity and pipeline performance.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deliver analytical solutions addressing the 4-hour waiting time target collapse.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functions, CTEs, and CASE logic to classify performance trends, revealing a 29% compliance rate over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predictive modelling of breach risk (0.90–0.95 ROC-AUC), identifying key drivers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KPIs, including seasonality heatmaps and 12-hour waiter spikes, to communicate findings to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integration and preprocessing techniques, including Multi-Scale Retinex, to ensure robust model performance across diverse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complex analytical findings and model performance metrics to academic stakeholders using Matplotlib and Seaborn.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to support analytical requirements.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