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Scientist with an MSc in Computer Science (Distinction) and specialized expertise in building end-to-end AI and machine learning pipelines. Proficient in Python, SQL, TensorFlow, and Scikit-learn, with hands-on experience developing agentic LLM architectures and predictive modeling solutions. Proven track record of delivering high-performance analytics, including a 98.84% accurate wildfire detection system and NHS performance forecasting. Committed to developing scalable AI business applications that drive efficiency and actionable insights within investment banking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SQL, Power BI, Tableau, Advanced Excel, Data modelling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CNNs, Predictive modeling, Time-series analytics</w:t>
      </w:r>
    </w:p>
    <w:p>
      <w:pPr>
        <w:spacing w:before="0" w:after="20"/>
      </w:pPr>
      <w:r>
        <w:rPr>
          <w:b/>
        </w:rPr>
        <w:t xml:space="preserve">GenAI &amp; LLMs: </w:t>
      </w:r>
      <w:r>
        <w:t>Agentic AI architectures, LLM API integration, Prompt engineering, Google Gemini API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Git, GitHub, Oracle Cloud, AWS S3, Azure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modeling  ·  time-series analytics  ·  agentic AI architectures  ·  LLM pipeline development  ·  data cleaning  ·  feature engineering  ·  model selection  ·  evaluation metrics  ·  data visualization  ·  exploratory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A&amp;E data, identifying a 141× increase in 12-hour wait times since 2019.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with 0.90–0.95 ROC-AUC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Python pipeline for automated data extraction from ~50 job postings, utilizing Google Gemini LLMs for document classification and semantic information search.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iterative model selection and prompt engineering to ensure AI-generated content meets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deployment pipelines featuring multi-model failover, rate-limiting, and 121 automated unit tests using pytest to ensure high performance and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agentic AI architecture on an Oracle Cloud VM, integrating structured data processing with a responsive Next.js dashboard.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exploratory analysis on 188 months of NHS England A&amp;E data, applying advanced SQL window functions and CTEs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predictive modeling solution to forecast monthly breach risk, achieving 0.90–0.95 ROC-AUC through rigorous feature engineering and time-series analytics.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compliance trends and seasonality heatmaps, providing stakeholders with actionable insights into 12-hour waiter spikes.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performance degradation, revealing that the NHS met its 95% target in only 55 of 188 months (29% of the time) using Python-based statistical modeling.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 deep learning pipeline for image classification on 2,700+ high-resolution images, achieving 98.84% accuracy using DenseNet CNNs.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by +16% over baseline architectures through data augmentation, Multi-Scale Retinex preprocessing, and GridSearchCV.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cross-validation and evaluation metrics to ensure model robustness, presenting findings to academic stakeholders to demonstrate real-world applicability.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