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Generative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Generative AI Engineer with an MSc in Computer Science and a proven track record in designing and deploying agentic LLM pipelines using LangChain and LangGraph. Expert in Python, prompt engineering, and generative AI architectures, with hands-on experience building production-grade AI solutions on serverless and cloud infrastructure. Successfully delivered a 24/7 automated LLM platform featuring multi-model failover and 121 automated tests, achieving an 85% ATS match threshold. Committed to secure AI development, I am eligible for security clearance and eager to apply my expertise in PyTorch, Hugging Face, and security automation to Bridewell’s mission.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Automation: </w:t>
      </w:r>
      <w:r>
        <w:t>LangChain, LangGraph, Generative AI, Prompt engineering, Model fine-tuning, Agentic pipelines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Python, PyTorch, Hugging Face, TensorFlow, Keras, Scikit-learn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Serverless, SaaS, PaaS, IaaS, Oracle Cloud, AWS, Azure</w:t>
      </w:r>
    </w:p>
    <w:p>
      <w:pPr>
        <w:spacing w:before="0" w:after="20"/>
      </w:pPr>
      <w:r>
        <w:rPr>
          <w:b/>
        </w:rPr>
        <w:t xml:space="preserve">Engineering &amp; Tools: </w:t>
      </w:r>
      <w:r>
        <w:t>Git, CI/CD pipelines, pytest, Requirements analysis, Version control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LangChain and LangGraph process automation  ·  PyTorch and Hugging Face model deployment  ·  Serverless cloud architecture  ·  Generative AI architectures  ·  Security automation concepts  ·  Proof-of-concept AI solutions  ·  Privacy and security controls  ·  Cybersecurity principles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exceed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on Oracle Cloud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141× increase in 12-hour A&amp;E wait times compared to March 2019 levels.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using LangChain and LangGraph to automate the scraping of ~50 job postings per run and generate ATS-optimised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and iterates AI-tailored resumes until they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serverless-ready logic and multi-model failover to ensure 24/7 production reliability on Oracle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within a CI/CD framework to maintain high-standard technical specifications.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Vercel, applying version control via Git to manage the full development lifecycle.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data, applying advanced SQL window functions to classify operational status and identify security-critical performance gaps.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demonstrating commercial awareness of operational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6 live KPIs, including a 141× increase in 12-hour waiter spikes since March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requirements and specifications for the 4-hour target breach investigation to communicate complex procedures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fine-tuned a DenseNet-based CNN using PyTorch and Hugging Face libraries for early wildfire detection,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 including GridSearchCV and cross-validation to ensure robust performance in high-stakes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the end-to-end ML pipeline, including data augmentation and Multi-Scale Retinex preprocessing,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