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Commercial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Commercial Data Scientist with a strong foundation in Python, SQL, and AI-enabled analytical workflows. Expert in translating ambiguous business questions into structured analytical approaches to drive strategic decision-making. Proven track record of delivering high-impact insights, including a 4-hour target breach investigation for the NHS and an agentic LLM pipeline for automated business processes. Committed to building robust analytical frameworks that surface commercial opportunities and improve organizational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Advanced Excel, Data modelling, KPIs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Random Forest, Predictive modelling,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Oracle Cloud, AWS S3,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commercial performance analysis  ·  strategic reasoning  ·  predictive modelling  ·  analytical investigations  ·  stakeholder management  ·  scenario planning  ·  data quality assessment  ·  AI-enabled analytical workflows  ·  cross-functional collaboration  ·  decision-making frameworks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drivers of NHS A&amp;E performance collapse across 188 months of data, revealing a 51-month consecutive crisis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to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71,517 patient records to quantify 12-hour wait time spikes, providing actionable insights for operational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design of an end-to-end Python pipeline to scrape ~50 job postings, applying strategic reasoning to score and rank opportunities for commercial alignment.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evaluates AI-assisted analytical outputs, iterating until achieving an 85% ATS match threshold to ensure high-quality,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reliability features including multi-model failover and content-based deduplication to support scalable, 24/7 analytical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robustness and data quality in an AI-first environment.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a complex analytical investigation into 188 months of NHS England A&amp;E performance data to identify drivers of the 4-hour target breach.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that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predictive model (0.90–0.95 ROC-AUC) to identify breach risk, surfacing key variables that influence operational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6 live charts to communicate complex performance trends and seasonality to stakeholders, influencing understanding of long-term operational risks.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on 2,700+ high-resolution images, achieving 98.84% accuracy and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evaluate trade-offs in predictive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analytical findings to academic stakeholders, translating complex deep learning metrics into clear, actionable insights.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