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Agentic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Agentic AI Engineer with an MSc in Computer Science and a proven track record of designing and operationalizing production-grade LLM pipelines. Expert in building agentic workflows featuring multi-model failover, automated quality-gate loops, and rigorous evaluation harnesses. Skilled in RAG patterns, structured data extraction, and cloud-based deployment with a focus on observability and system reliability. Successfully delivered high-impact projects including a 98.84% accurate wildfire detection system and complex NHS performance analytics, demonstrating a strong aptitude for regulated data environments and clinical-trial-style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pipelines, RAG, LLM API integration, model evaluation, CNNs (DenseNet),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data validation, metadata consistency, Power BI, Tableau, Pandas, NumPy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CI/CD, observability, web scraping, Next.js,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RAG patterns  ·  data validation  ·  metadata consistency  ·  observability  ·  evaluation harnesses  ·  automated quality-gate loops  ·  multi-model failover  ·  structured extraction  ·  system reliability  ·  regression testing  ·  production-quality code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for agentic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with Multi-Scale Retinex preprocessing.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operationalized an end-to-end agentic pipeline that scrapes ~50 job postings per run, utilizing Google Gemini LLMs for structured extraction and automated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quality-gate loop that enforces guardrails by re-scoring AI-generated content against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patterns including multi-model failover, exponential-backoff retries, and rate-limiting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comprehensive evaluation harness with 121 automated unit tests (pytest) to validate agent behavior and ensure regression testing compliance.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Oracle Cloud with integrated observability and a responsive Next.js dashboard for monitoring agent performance and logs.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complex data validation and metadata reconciliation on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advanced SQL queries using window functions and CTEs to classify performance status,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predictive decision support, achieving 0.90–0.95 ROC-AUC by identifying key features like rolling 3-month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providing structured visualization of 12-hour waiter spikes and annual performance trends for stakeholder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findings on 71,517 patients waiting 12+ hours in January 2026, providing a clear audit trail of performance degradation since March 2019.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image validation and classification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evaluation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Multi-Scale Retinex preprocessing and data augmentation to handle brightness variation and ensure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and evaluation metrics to academic stakeholders, ensuring clear communication of model trade-offs and performance limits.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