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Web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Web Analyst with an MSc in Computer Science, specializing in web analytics implementation and cross-channel reporting. Expert in leveraging Google Tag Manager (GTM), GA4, and AI-enabled tools to build robust measurement plans and ensure data integrity across digital touchpoints. Proven track record of delivering a 98.84% accuracy rate in complex data pipelines and optimizing performance through advanced SQL and Power BI dashboarding.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Google Analytics (GA4), Adobe Analytics, Advanced Excel, Data Visualization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Google Tag Manager (GTM), Adobe Launch, Web Analytics Implementation, Implementation QA, Measurement Planning, Tagging Plans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Predictive Modelling,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web analytics implementation  ·  Google Tag Manager (GTM) &amp; Adobe Launch  ·  GA4 &amp; Adobe Analytics  ·  cross-channel reporting  ·  measurement planning  ·  implementation QA  ·  tagging plans  ·  data integrity  ·  paid media optimization  ·  AI-enabled tools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pipelines,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performance drivers across 188 months of NHS data, revealing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121 automated unit tests to ensure production reliability for high-frequency data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web analytics implementation frameworks to track user engagement, utilizing Python to scrape ~50 job postings per run across paid search and social channels.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AI-enabled tools to iterate content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implementation QA with 121 automated unit tests using pytest to validate pipeline performance and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through rate-limiting, multi-model failover, and content-based deduplication, maintaining 24/7 uptime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cross-channel reporting and analysis on 188 months of NHS performance data, identifying key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Power BI dashboard to visualize compliance trends and 12-hour waiter spikes, providing actionable insights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predictive modelling with Scikit-learn to identify month-of-year and rolling compliance history as the strongest features for breach risk (0.90–0.95 ROC-AUC).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image-based performance analysis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over baseline architectures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and performance metrics to academic stakeholders, translating complex model outputs into clear strategic insights.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