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Senior Analyst /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Senior Analyst / Data Scientist specializing in clinical data analysis, reproducible research, and automated reporting. Expert in SQL-driven performance analytics and visual data communication, with a proven track record of translating complex healthcare datasets into actionable insights for stakeholders. Proficient in Python, Jupyter, and version control, with a foundational understanding of Databricks (Unity Catalog) and dbt (data build tool) for scalable data governance. Successfully delivered a 141× increase in 12+ hour wait time visibility through advanced SQL modeling.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dbt (data build tool), Databricks (Unity Catalog), Power BI, Tableau, Dashboard development, KPIs</w:t>
      </w:r>
    </w:p>
    <w:p>
      <w:pPr>
        <w:spacing w:before="0" w:after="20"/>
      </w:pPr>
      <w:r>
        <w:rPr>
          <w:b/>
        </w:rPr>
        <w:t xml:space="preserve">Languages: </w:t>
      </w:r>
      <w:r>
        <w:t>Python, R, Quarto,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Predictive modelling, Scikit-learn, TensorFlow, Keras, Cross-validation</w:t>
      </w:r>
    </w:p>
    <w:p>
      <w:pPr>
        <w:spacing w:before="0" w:after="20"/>
      </w:pPr>
      <w:r>
        <w:rPr>
          <w:b/>
        </w:rPr>
        <w:t xml:space="preserve">Cloud &amp; DB: </w:t>
      </w:r>
      <w:r>
        <w:t>Snowflake, Oracle Cloud, AWS S3, Azure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Jupyter, Version control, Reproducible research, pytest,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SQL window functions  ·  small-sample reasoning  ·  visual data communications  ·  reproducible workflows  ·  clinical data analysis  ·  Databricks (Unity Catalog)  ·  dbt semantic layer  ·  Quarto/Rmarkdown  ·  data governance  ·  stakeholder requirements gathering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in wildfire detection (+16% over baseline)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51 consecutive months of NHS A&amp;E Crisis-status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× increase in 12+ hour wait times quantified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pipeline reliability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–0.95 ROC-AUC predictive model performance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outputs until clearing an 85% ATS match threshold, ensuring high-quality, reproducible data communications.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robust Python pipeline for automated data ingestion from LinkedIn and Indeed, incorporating rate-limiting and multi-model failover to ensure 99.9%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code quality and support reproducible research principles within the deployment pipeline.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automated service on an Oracle Cloud VM, providing a responsive dashboard for real-time monitoring of application performance.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performance data using advanced SQL window functions and CTEs to provide evidence-informed insights into long-term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 with 0.90–0.95 ROC-AUC, identifying rolling 3-month compliance history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surfacing 6 live KPIs, enabling stakeholders to visualize seasonality heatmaps and 12-hour waiter spikes without manual data stitching.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complex clinical performance trends, including the 141× increase in 12+ hour waits, to support data-driven decision-making for healthcare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high-accuracy predictive model using DenseNet-based CNNs on 2,700+ high-resolution images, achieving 98.84% accuracy and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model evaluation techniques, including GridSearchCV and cross-validation, to ensure statistical significance and robustness in wildfire detection.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visual data communications to academic stakeholders, translating complex deep learning performance metrics into actionable insights.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